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Calibri" w:cs="Calibri" w:eastAsia="Calibri" w:hAnsi="Calibri"/>
        </w:rPr>
        <w:t xml:space="preserve">SSA-L 2018 → SSA-L 2026</w:t>
      </w:r>
    </w:p>
    <w:p>
      <w:pPr>
        <w:spacing w:after="200"/>
      </w:pPr>
      <w:r>
        <w:rPr>
          <w:rFonts w:ascii="Calibri" w:cs="Calibri" w:eastAsia="Calibri" w:hAnsi="Calibri"/>
          <w:color w:val="444444"/>
          <w:sz w:val="26"/>
          <w:szCs w:val="26"/>
        </w:rPr>
        <w:t xml:space="preserve">Sammendrag av rettslig betydning av endringene – sett fra Leverandørens side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600"/>
        <w:gridCol w:w="6400"/>
      </w:tblGrid>
      <w:tr>
        <w:trPr>
          <w:tblHeader w:val="off"/>
        </w:trPr>
        <w:tc>
          <w:tcPr>
            <w:tcW w:type="dxa" w:w="26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9"/>
                <w:szCs w:val="19"/>
              </w:rPr>
              <w:t xml:space="preserve">Avtale</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9"/>
                <w:szCs w:val="19"/>
              </w:rPr>
              <w:t xml:space="preserve">SSA-L – Avtale om løpende tjenestekjøp over internett (Statens standardavtaler, DFØ): generell avtaletekst og bilag</w:t>
            </w:r>
          </w:p>
        </w:tc>
      </w:tr>
      <w:tr>
        <w:trPr>
          <w:tblHeader w:val="off"/>
        </w:trPr>
        <w:tc>
          <w:tcPr>
            <w:tcW w:type="dxa" w:w="26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9"/>
                <w:szCs w:val="19"/>
              </w:rPr>
              <w:t xml:space="preserve">Versjoner sammenlignet</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9"/>
                <w:szCs w:val="19"/>
              </w:rPr>
              <w:t xml:space="preserve">Gammel: 2018_SSA-L_hoveddokument_old.docx og 2018_SSA-L_bilag_old.docx (SSA-L 2018)</w:t>
            </w:r>
          </w:p>
          <w:p>
            <w:r>
              <w:rPr>
                <w:rFonts w:ascii="Calibri" w:cs="Calibri" w:eastAsia="Calibri" w:hAnsi="Calibri"/>
                <w:b w:val="false"/>
                <w:bCs w:val="false"/>
                <w:sz w:val="19"/>
                <w:szCs w:val="19"/>
              </w:rPr>
              <w:t xml:space="preserve">Ny: 2026_SSA-L_hoveddokument_new.docx og 2026_SSA-L_bilag_new.docx (SSA-L 2026, bokmål)</w:t>
            </w:r>
          </w:p>
        </w:tc>
      </w:tr>
      <w:tr>
        <w:trPr>
          <w:tblHeader w:val="off"/>
        </w:trPr>
        <w:tc>
          <w:tcPr>
            <w:tcW w:type="dxa" w:w="26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9"/>
                <w:szCs w:val="19"/>
              </w:rPr>
              <w:t xml:space="preserve">Perspektiv</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9"/>
                <w:szCs w:val="19"/>
              </w:rPr>
              <w:t xml:space="preserve">Leverandøren</w:t>
            </w:r>
          </w:p>
        </w:tc>
      </w:tr>
      <w:tr>
        <w:trPr>
          <w:tblHeader w:val="off"/>
        </w:trPr>
        <w:tc>
          <w:tcPr>
            <w:tcW w:type="dxa" w:w="26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9"/>
                <w:szCs w:val="19"/>
              </w:rPr>
              <w:t xml:space="preserve">Formål</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9"/>
                <w:szCs w:val="19"/>
              </w:rPr>
              <w:t xml:space="preserve">Gjennomgang av ny versjon før signering</w:t>
            </w:r>
          </w:p>
        </w:tc>
      </w:tr>
      <w:tr>
        <w:trPr>
          <w:tblHeader w:val="off"/>
        </w:trPr>
        <w:tc>
          <w:tcPr>
            <w:tcW w:type="dxa" w:w="26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9"/>
                <w:szCs w:val="19"/>
              </w:rPr>
              <w:t xml:space="preserve">Dato for gjennomgang</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9"/>
                <w:szCs w:val="19"/>
              </w:rPr>
              <w:t xml:space="preserve">30. oktober 2026 (Lovdata-data per 29. oktober 2026)</w:t>
            </w:r>
          </w:p>
        </w:tc>
      </w:tr>
      <w:tr>
        <w:trPr>
          <w:tblHeader w:val="off"/>
        </w:trPr>
        <w:tc>
          <w:tcPr>
            <w:tcW w:type="dxa" w:w="26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9"/>
                <w:szCs w:val="19"/>
              </w:rPr>
              <w:t xml:space="preserve">Omfang</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9"/>
                <w:szCs w:val="19"/>
              </w:rPr>
              <w:t xml:space="preserve">Hele den generelle avtaleteksten med topp- og bunntekster, og alle bilag (bilag 1–9) inkludert tekstbokser</w:t>
            </w:r>
          </w:p>
        </w:tc>
      </w:tr>
      <w:tr>
        <w:trPr>
          <w:tblHeader w:val="off"/>
        </w:trPr>
        <w:tc>
          <w:tcPr>
            <w:tcW w:type="dxa" w:w="26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9"/>
                <w:szCs w:val="19"/>
              </w:rPr>
              <w:t xml:space="preserve">Grunnlag</w:t>
            </w:r>
          </w:p>
        </w:tc>
        <w:tc>
          <w:tcPr>
            <w:tcW w:type="dxa" w:w="64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9"/>
                <w:szCs w:val="19"/>
              </w:rPr>
              <w:t xml:space="preserve">Blanke maler. Utfylte bilag (særlig Kundens bilag 1, Leverandørens bilag 2, prisbilag 6 og eventuell databehandleravtale) er ikke gjennomgått.</w:t>
            </w:r>
          </w:p>
        </w:tc>
      </w:tr>
    </w:tbl>
    <w:p>
      <w:pPr>
        <w:pStyle w:val="Heading1"/>
        <w:spacing w:after="120" w:before="300"/>
      </w:pPr>
      <w:r>
        <w:rPr>
          <w:rFonts w:ascii="Calibri" w:cs="Calibri" w:eastAsia="Calibri" w:hAnsi="Calibri"/>
        </w:rPr>
        <w:t xml:space="preserve">Oversikt</w:t>
      </w:r>
    </w:p>
    <w:p>
      <w:pPr>
        <w:spacing w:after="100"/>
      </w:pPr>
      <w:r>
        <w:rPr>
          <w:rFonts w:ascii="Calibri" w:cs="Calibri" w:eastAsia="Calibri" w:hAnsi="Calibri"/>
          <w:b/>
          <w:bCs/>
          <w:sz w:val="21"/>
          <w:szCs w:val="21"/>
        </w:rPr>
        <w:t xml:space="preserve">Antall punkter: </w:t>
      </w:r>
      <w:r>
        <w:rPr>
          <w:rFonts w:ascii="Calibri" w:cs="Calibri" w:eastAsia="Calibri" w:hAnsi="Calibri"/>
          <w:sz w:val="21"/>
          <w:szCs w:val="21"/>
        </w:rPr>
        <w:t xml:space="preserve">🔴 Høy: 0   🟡 Middels: 6   🟢 Lav: 5</w:t>
      </w:r>
    </w:p>
    <w:p>
      <w:pPr>
        <w:spacing w:after="60"/>
      </w:pPr>
      <w:r>
        <w:rPr>
          <w:rFonts w:ascii="Calibri" w:cs="Calibri" w:eastAsia="Calibri" w:hAnsi="Calibri"/>
          <w:b/>
          <w:bCs/>
          <w:sz w:val="21"/>
          <w:szCs w:val="21"/>
        </w:rPr>
        <w:t xml:space="preserve">De tre viktigste punktene</w:t>
      </w:r>
    </w:p>
    <w:p>
      <w:pPr>
        <w:pStyle w:val="ListParagraph"/>
        <w:numPr>
          <w:ilvl w:val="0"/>
          <w:numId w:val="2"/>
        </w:numPr>
        <w:spacing w:after="60"/>
      </w:pPr>
      <w:r>
        <w:rPr>
          <w:rFonts w:ascii="Calibri" w:cs="Calibri" w:eastAsia="Calibri" w:hAnsi="Calibri"/>
          <w:sz w:val="21"/>
          <w:szCs w:val="21"/>
        </w:rPr>
        <w:t xml:space="preserve">Bare punkt 7.2 (rettigheter til data) er endret i den generelle avtaleteksten. Resten – blant annet erstatningsbegrensningen i 9.2.7, avslutningsbestemmelsen i 5.3, tjenestenivå, priser og oppsigelse – er ord for ord lik 2018-versjonen. I bilagene er det eneste materielle tillegget et nytt felt i bilag 1 for punkt 7.2.</w:t>
      </w:r>
    </w:p>
    <w:p>
      <w:pPr>
        <w:pStyle w:val="ListParagraph"/>
        <w:numPr>
          <w:ilvl w:val="0"/>
          <w:numId w:val="2"/>
        </w:numPr>
        <w:spacing w:after="60"/>
      </w:pPr>
      <w:r>
        <w:rPr>
          <w:rFonts w:ascii="Calibri" w:cs="Calibri" w:eastAsia="Calibri" w:hAnsi="Calibri"/>
          <w:sz w:val="21"/>
          <w:szCs w:val="21"/>
        </w:rPr>
        <w:t xml:space="preserve">Leverandøren får nye plikter: Kunden skal til enhver tid ha tilgang til dataene (M2), data skal leveres i åpent, maskinlesbart format ved opphør (M3), og Leverandøren skal slette alle egne kopier ved opphør (M4) – det siste uten uttrykkelig unntak i avtaleteksten for lovpålagt lagring eller sikkerhetskopier, og uten samordning med bistand etter opphør (5.3) og forlengelse (5.4).</w:t>
      </w:r>
    </w:p>
    <w:p>
      <w:pPr>
        <w:pStyle w:val="ListParagraph"/>
        <w:numPr>
          <w:ilvl w:val="0"/>
          <w:numId w:val="2"/>
        </w:numPr>
        <w:spacing w:after="60"/>
      </w:pPr>
      <w:r>
        <w:rPr>
          <w:rFonts w:ascii="Calibri" w:cs="Calibri" w:eastAsia="Calibri" w:hAnsi="Calibri"/>
          <w:sz w:val="21"/>
          <w:szCs w:val="21"/>
        </w:rPr>
        <w:t xml:space="preserve">Leverandøren får samtidig en ny rett til å bruke anonymiserte bruksdata (M5) og data fra etableringen (L2). Kunden kan ta forbehold i bilag 1, og fordi 7.2 henviser til bilag 1, kan klart angitte krav der gå foran 7.2 selv (M6).</w:t>
      </w:r>
    </w:p>
    <w:p>
      <w:pPr>
        <w:spacing w:after="100"/>
      </w:pPr>
      <w:r>
        <w:rPr>
          <w:rFonts w:ascii="Calibri" w:cs="Calibri" w:eastAsia="Calibri" w:hAnsi="Calibri"/>
          <w:i/>
          <w:iCs/>
          <w:sz w:val="21"/>
          <w:szCs w:val="21"/>
        </w:rPr>
        <w:t xml:space="preserve">Ingen punkter er vurdert som høy betydning. Flere middels-punkter kan bli høye avhengig av forhold som ikke fremgår av malen; dette står under «Kan bli» ved hvert punkt.</w:t>
      </w:r>
    </w:p>
    <w:p>
      <w:pPr>
        <w:spacing w:after="100"/>
      </w:pPr>
      <w:r>
        <w:rPr>
          <w:rFonts w:ascii="Calibri" w:cs="Calibri" w:eastAsia="Calibri" w:hAnsi="Calibri"/>
          <w:i/>
          <w:iCs/>
          <w:sz w:val="21"/>
          <w:szCs w:val="21"/>
        </w:rPr>
        <w:t xml:space="preserve">Gjennomgangen er ikke utført av advokat. Dette er informasjon fra de innhentede kildene, ikke juridisk rådgivning; beslutninger av betydning krever en advokats vurdering.</w:t>
      </w:r>
    </w:p>
    <w:p>
      <w:pPr>
        <w:pStyle w:val="Heading1"/>
        <w:spacing w:after="120" w:before="300"/>
      </w:pPr>
      <w:r>
        <w:rPr>
          <w:rFonts w:ascii="Calibri" w:cs="Calibri" w:eastAsia="Calibri" w:hAnsi="Calibri"/>
        </w:rPr>
        <w:t xml:space="preserve">🔴 Høy betydning</w:t>
      </w:r>
    </w:p>
    <w:p>
      <w:pPr>
        <w:spacing w:after="100"/>
      </w:pPr>
      <w:r>
        <w:rPr>
          <w:rFonts w:ascii="Calibri" w:cs="Calibri" w:eastAsia="Calibri" w:hAnsi="Calibri"/>
          <w:sz w:val="21"/>
          <w:szCs w:val="21"/>
        </w:rPr>
        <w:t xml:space="preserve">Ingen punkter.</w:t>
      </w:r>
    </w:p>
    <w:p>
      <w:pPr>
        <w:pStyle w:val="Heading1"/>
        <w:spacing w:after="120" w:before="300"/>
      </w:pPr>
      <w:r>
        <w:rPr>
          <w:rFonts w:ascii="Calibri" w:cs="Calibri" w:eastAsia="Calibri" w:hAnsi="Calibri"/>
        </w:rPr>
        <w:t xml:space="preserve">🟡 Middels betydning</w:t>
      </w:r>
    </w:p>
    <w:p>
      <w:pPr>
        <w:pStyle w:val="Heading2"/>
        <w:spacing w:after="100" w:before="240"/>
      </w:pPr>
      <w:r>
        <w:rPr>
          <w:rFonts w:ascii="Calibri" w:cs="Calibri" w:eastAsia="Calibri" w:hAnsi="Calibri"/>
          <w:color w:val="B7791F"/>
        </w:rPr>
        <w:t xml:space="preserve">🟡 M1 – Kunden får rettighetene til data som samles inn, genereres eller oppstår i tjenesten</w:t>
      </w:r>
    </w:p>
    <w:p>
      <w:pPr>
        <w:spacing w:after="100"/>
      </w:pPr>
      <w:r>
        <w:rPr>
          <w:rFonts w:ascii="Calibri" w:cs="Calibri" w:eastAsia="Calibri" w:hAnsi="Calibri"/>
          <w:b/>
          <w:bCs/>
          <w:sz w:val="21"/>
          <w:szCs w:val="21"/>
        </w:rPr>
        <w:t xml:space="preserve">Punkt: </w:t>
      </w:r>
      <w:r>
        <w:rPr>
          <w:rFonts w:ascii="Calibri" w:cs="Calibri" w:eastAsia="Calibri" w:hAnsi="Calibri"/>
          <w:sz w:val="21"/>
          <w:szCs w:val="21"/>
        </w:rPr>
        <w:t xml:space="preserve">Punkt 7.2 første ledd (2018: 7.2 første ledd)</w:t>
      </w:r>
    </w:p>
    <w:p>
      <w:pPr>
        <w:spacing w:after="100"/>
      </w:pPr>
      <w:r>
        <w:rPr>
          <w:rFonts w:ascii="Calibri" w:cs="Calibri" w:eastAsia="Calibri" w:hAnsi="Calibri"/>
          <w:b/>
          <w:bCs/>
          <w:sz w:val="21"/>
          <w:szCs w:val="21"/>
        </w:rPr>
        <w:t xml:space="preserve">Endring: </w:t>
      </w:r>
      <w:r>
        <w:rPr>
          <w:rFonts w:ascii="Calibri" w:cs="Calibri" w:eastAsia="Calibri" w:hAnsi="Calibri"/>
          <w:sz w:val="21"/>
          <w:szCs w:val="21"/>
        </w:rPr>
        <w:t xml:space="preserve">2018: Kunden beholdt «eiendomsrett» til alle data som overlates Leverandøren for behandling, og som lagres eller prosesseres ved hjelp av tjenestene, samt resultatet av behandlingen. 2026: Kunden (og dennes rettighetshavere) beholder rettigheter til data som tilgjengeliggjøres, og «får rettighetene» til data som «samles inn, prosesseres, bearbeides, genereres, oppstår eller på annen måte behandles» i henhold til avtalen, samt resultatene av slik behandling.</w:t>
      </w:r>
    </w:p>
    <w:p>
      <w:pPr>
        <w:spacing w:after="100"/>
      </w:pPr>
      <w:r>
        <w:rPr>
          <w:rFonts w:ascii="Calibri" w:cs="Calibri" w:eastAsia="Calibri" w:hAnsi="Calibri"/>
          <w:b/>
          <w:bCs/>
          <w:sz w:val="21"/>
          <w:szCs w:val="21"/>
        </w:rPr>
        <w:t xml:space="preserve">Virkning for Leverandøren: </w:t>
      </w:r>
      <w:r>
        <w:rPr>
          <w:rFonts w:ascii="Calibri" w:cs="Calibri" w:eastAsia="Calibri" w:hAnsi="Calibri"/>
          <w:sz w:val="21"/>
          <w:szCs w:val="21"/>
        </w:rPr>
        <w:t xml:space="preserve">Realistisk: Data som tjenesten selv skaper om Kundens bruk, for eksempel logger, telemetri, metadata og driftsdata knyttet til Kunden, faller nå innenfor det Kunden har rettighetene til. Leverandørens bruk av slike data er da begrenset til det som er nødvendig for å oppfylle avtalen (annet ledd) og til unntakene i femte ledd. Teoretisk: Kunden kan påberope seg rettigheter til avledede data eller modeller som Leverandøren lager på tvers av kunder; ordlyden «i henhold til denne Avtalen» begrenser omfanget, mens punkt 7.1 ikke gir støtte her fordi det bare verner rettigheter partene hadde før avtalen.</w:t>
      </w:r>
    </w:p>
    <w:p>
      <w:pPr>
        <w:spacing w:after="100"/>
      </w:pPr>
      <w:r>
        <w:rPr>
          <w:rFonts w:ascii="Calibri" w:cs="Calibri" w:eastAsia="Calibri" w:hAnsi="Calibri"/>
          <w:b/>
          <w:bCs/>
          <w:sz w:val="21"/>
          <w:szCs w:val="21"/>
        </w:rPr>
        <w:t xml:space="preserve">Allerede dekket av: </w:t>
      </w:r>
      <w:r>
        <w:rPr>
          <w:rFonts w:ascii="Calibri" w:cs="Calibri" w:eastAsia="Calibri" w:hAnsi="Calibri"/>
          <w:sz w:val="21"/>
          <w:szCs w:val="21"/>
        </w:rPr>
        <w:t xml:space="preserve">Punkt 7.1 (rettigheter partene hadde før avtalen, herunder Leverandørens rettigheter i tjenesten, endres ikke; data som oppstår under avtalen, er ikke omfattet av dette vernet). Punkt 7.2 femte ledd (ny rett til anonymiserte bruksdata og etableringsdata). Punkt 11 om taushetsplikt (partene kan utnytte erfaring og kompetanse). 2018-teksten ga allerede Kunden resultatet av Leverandørens behandling.</w:t>
      </w:r>
    </w:p>
    <w:p>
      <w:pPr>
        <w:spacing w:after="100"/>
      </w:pPr>
      <w:r>
        <w:rPr>
          <w:rFonts w:ascii="Calibri" w:cs="Calibri" w:eastAsia="Calibri" w:hAnsi="Calibri"/>
          <w:b/>
          <w:bCs/>
          <w:sz w:val="21"/>
          <w:szCs w:val="21"/>
        </w:rPr>
        <w:t xml:space="preserve">Motargument: </w:t>
      </w:r>
      <w:r>
        <w:rPr>
          <w:rFonts w:ascii="Calibri" w:cs="Calibri" w:eastAsia="Calibri" w:hAnsi="Calibri"/>
          <w:sz w:val="21"/>
          <w:szCs w:val="21"/>
        </w:rPr>
        <w:t xml:space="preserve">DFØs veileder legger til grunn at ingen eier data som sådan og at bestemmelsen er et kontraktsmessig utgangspunkt; ordlyden er knyttet til behandling «i henhold til denne Avtalen», ikke til Leverandørens plattform generelt.</w:t>
      </w:r>
    </w:p>
    <w:p>
      <w:pPr>
        <w:spacing w:after="100"/>
      </w:pPr>
      <w:r>
        <w:rPr>
          <w:rFonts w:ascii="Calibri" w:cs="Calibri" w:eastAsia="Calibri" w:hAnsi="Calibri"/>
          <w:b/>
          <w:bCs/>
          <w:sz w:val="21"/>
          <w:szCs w:val="21"/>
        </w:rPr>
        <w:t xml:space="preserve">Kilder: </w:t>
      </w:r>
      <w:r>
        <w:rPr>
          <w:rFonts w:ascii="Calibri" w:cs="Calibri" w:eastAsia="Calibri" w:hAnsi="Calibri"/>
          <w:sz w:val="21"/>
          <w:szCs w:val="21"/>
        </w:rPr>
        <w:t xml:space="preserve">Avtalevilkår – ingen lovregel om eiendomsrett til data funnet</w:t>
      </w:r>
      <w:r>
        <w:rPr>
          <w:rFonts w:ascii="Calibri" w:cs="Calibri" w:eastAsia="Calibri" w:hAnsi="Calibri"/>
          <w:sz w:val="21"/>
          <w:szCs w:val="21"/>
        </w:rPr>
        <w:t xml:space="preserve">; </w:t>
      </w:r>
      <w:hyperlink w:history="1" r:id="rIdnsrs6nxe0pcognowxymbv">
        <w:r>
          <w:rPr>
            <w:rStyle w:val="Hyperlink"/>
            <w:rFonts w:ascii="Calibri" w:cs="Calibri" w:eastAsia="Calibri" w:hAnsi="Calibri"/>
            <w:sz w:val="21"/>
            <w:szCs w:val="21"/>
          </w:rPr>
          <w:t xml:space="preserve">åndsverkloven § 24</w:t>
        </w:r>
      </w:hyperlink>
      <w:r>
        <w:rPr>
          <w:rFonts w:ascii="Calibri" w:cs="Calibri" w:eastAsia="Calibri" w:hAnsi="Calibri"/>
          <w:sz w:val="21"/>
          <w:szCs w:val="21"/>
        </w:rPr>
        <w:t xml:space="preserve">; </w:t>
      </w:r>
      <w:hyperlink w:history="1" r:id="rIdw8ebxzzvwcrr7hzfnekma">
        <w:r>
          <w:rPr>
            <w:rStyle w:val="Hyperlink"/>
            <w:rFonts w:ascii="Calibri" w:cs="Calibri" w:eastAsia="Calibri" w:hAnsi="Calibri"/>
            <w:sz w:val="21"/>
            <w:szCs w:val="21"/>
          </w:rPr>
          <w:t xml:space="preserve">DFØ: Veileder om rettigheter til data i SSA-ene</w:t>
        </w:r>
      </w:hyperlink>
    </w:p>
    <w:p>
      <w:pPr>
        <w:spacing w:after="100"/>
      </w:pPr>
      <w:r>
        <w:rPr>
          <w:rFonts w:ascii="Calibri" w:cs="Calibri" w:eastAsia="Calibri" w:hAnsi="Calibri"/>
          <w:i/>
          <w:iCs/>
          <w:sz w:val="19"/>
          <w:szCs w:val="19"/>
        </w:rPr>
        <w:t xml:space="preserve">Åndsverkloven § 24 gir den som fremstiller en database med vesentlig investering, enerett til uttrekk og gjenbruk; tilknytningen til spørsmålet om kundedata er løs, og bestemmelsen er tillagt liten vekt.</w:t>
      </w:r>
    </w:p>
    <w:p>
      <w:pPr>
        <w:spacing w:after="40"/>
      </w:pPr>
      <w:r>
        <w:rPr>
          <w:rFonts w:ascii="Calibri" w:cs="Calibri" w:eastAsia="Calibri" w:hAnsi="Calibri"/>
          <w:b/>
          <w:bCs/>
          <w:sz w:val="21"/>
          <w:szCs w:val="21"/>
        </w:rPr>
        <w:t xml:space="preserve">Momenter</w:t>
      </w:r>
    </w:p>
    <w:p>
      <w:pPr>
        <w:pStyle w:val="ListParagraph"/>
        <w:numPr>
          <w:ilvl w:val="0"/>
          <w:numId w:val="2"/>
        </w:numPr>
        <w:spacing w:after="60"/>
      </w:pPr>
      <w:r>
        <w:rPr>
          <w:rFonts w:ascii="Calibri" w:cs="Calibri" w:eastAsia="Calibri" w:hAnsi="Calibri"/>
          <w:sz w:val="21"/>
          <w:szCs w:val="21"/>
        </w:rPr>
        <w:t xml:space="preserve">Unntakene i femte ledd viser at teksten forutsetter at bruksdata og feillogger ellers hører inn under Kundens rettigheter.</w:t>
      </w:r>
    </w:p>
    <w:p>
      <w:pPr>
        <w:pStyle w:val="ListParagraph"/>
        <w:numPr>
          <w:ilvl w:val="0"/>
          <w:numId w:val="2"/>
        </w:numPr>
        <w:spacing w:after="60"/>
      </w:pPr>
      <w:r>
        <w:rPr>
          <w:rFonts w:ascii="Calibri" w:cs="Calibri" w:eastAsia="Calibri" w:hAnsi="Calibri"/>
          <w:sz w:val="21"/>
          <w:szCs w:val="21"/>
        </w:rPr>
        <w:t xml:space="preserve">Betydningen avhenger av om Leverandøren i dag bruker kundeknyttede drifts- eller bruksdata til formål ut over avtalen og ut over det femte ledd åpner for.</w:t>
      </w:r>
    </w:p>
    <w:p>
      <w:pPr>
        <w:spacing w:after="160"/>
      </w:pPr>
      <w:r>
        <w:rPr>
          <w:rFonts w:ascii="Calibri" w:cs="Calibri" w:eastAsia="Calibri" w:hAnsi="Calibri"/>
          <w:b/>
          <w:bCs/>
          <w:sz w:val="21"/>
          <w:szCs w:val="21"/>
        </w:rPr>
        <w:t xml:space="preserve">Vurdering: </w:t>
      </w:r>
      <w:r>
        <w:rPr>
          <w:rFonts w:ascii="Calibri" w:cs="Calibri" w:eastAsia="Calibri" w:hAnsi="Calibri"/>
          <w:sz w:val="21"/>
          <w:szCs w:val="21"/>
        </w:rPr>
        <w:t xml:space="preserve">Middels betydning. Sikkerhet: Middels. </w:t>
      </w:r>
      <w:r>
        <w:rPr>
          <w:rFonts w:ascii="Calibri" w:cs="Calibri" w:eastAsia="Calibri" w:hAnsi="Calibri"/>
          <w:b/>
          <w:bCs/>
          <w:sz w:val="21"/>
          <w:szCs w:val="21"/>
        </w:rPr>
        <w:t xml:space="preserve">Kan bli: </w:t>
      </w:r>
      <w:r>
        <w:rPr>
          <w:rFonts w:ascii="Calibri" w:cs="Calibri" w:eastAsia="Calibri" w:hAnsi="Calibri"/>
          <w:sz w:val="21"/>
          <w:szCs w:val="21"/>
        </w:rPr>
        <w:t xml:space="preserve">Høy dersom Leverandørens forretningsmodell bygger på bruk av kundeknyttede data som ikke er anonymiserte.</w:t>
      </w:r>
    </w:p>
    <w:p>
      <w:pPr>
        <w:pStyle w:val="Heading2"/>
        <w:spacing w:after="100" w:before="240"/>
      </w:pPr>
      <w:r>
        <w:rPr>
          <w:rFonts w:ascii="Calibri" w:cs="Calibri" w:eastAsia="Calibri" w:hAnsi="Calibri"/>
          <w:color w:val="B7791F"/>
        </w:rPr>
        <w:t xml:space="preserve">🟡 M2 – Kunden skal «til enhver tid» ha tilgang til dataene</w:t>
      </w:r>
    </w:p>
    <w:p>
      <w:pPr>
        <w:spacing w:after="100"/>
      </w:pPr>
      <w:r>
        <w:rPr>
          <w:rFonts w:ascii="Calibri" w:cs="Calibri" w:eastAsia="Calibri" w:hAnsi="Calibri"/>
          <w:b/>
          <w:bCs/>
          <w:sz w:val="21"/>
          <w:szCs w:val="21"/>
        </w:rPr>
        <w:t xml:space="preserve">Punkt: </w:t>
      </w:r>
      <w:r>
        <w:rPr>
          <w:rFonts w:ascii="Calibri" w:cs="Calibri" w:eastAsia="Calibri" w:hAnsi="Calibri"/>
          <w:sz w:val="21"/>
          <w:szCs w:val="21"/>
        </w:rPr>
        <w:t xml:space="preserve">Punkt 7.2 annet ledd annet punktum (nytt)</w:t>
      </w:r>
    </w:p>
    <w:p>
      <w:pPr>
        <w:spacing w:after="100"/>
      </w:pPr>
      <w:r>
        <w:rPr>
          <w:rFonts w:ascii="Calibri" w:cs="Calibri" w:eastAsia="Calibri" w:hAnsi="Calibri"/>
          <w:b/>
          <w:bCs/>
          <w:sz w:val="21"/>
          <w:szCs w:val="21"/>
        </w:rPr>
        <w:t xml:space="preserve">Endring: </w:t>
      </w:r>
      <w:r>
        <w:rPr>
          <w:rFonts w:ascii="Calibri" w:cs="Calibri" w:eastAsia="Calibri" w:hAnsi="Calibri"/>
          <w:sz w:val="21"/>
          <w:szCs w:val="21"/>
        </w:rPr>
        <w:t xml:space="preserve">Nytt: «Kunden skal til enhver tid ha tilgang til data som Kunden har rettighetene til og resultatet av Leverandørens behandling av disse dataene.»</w:t>
      </w:r>
    </w:p>
    <w:p>
      <w:pPr>
        <w:spacing w:after="100"/>
      </w:pPr>
      <w:r>
        <w:rPr>
          <w:rFonts w:ascii="Calibri" w:cs="Calibri" w:eastAsia="Calibri" w:hAnsi="Calibri"/>
          <w:b/>
          <w:bCs/>
          <w:sz w:val="21"/>
          <w:szCs w:val="21"/>
        </w:rPr>
        <w:t xml:space="preserve">Virkning for Leverandøren: </w:t>
      </w:r>
      <w:r>
        <w:rPr>
          <w:rFonts w:ascii="Calibri" w:cs="Calibri" w:eastAsia="Calibri" w:hAnsi="Calibri"/>
          <w:sz w:val="21"/>
          <w:szCs w:val="21"/>
        </w:rPr>
        <w:t xml:space="preserve">Realistisk: En løpende plikt gjennom hele avtaleperioden, ikke bare ved opphør. Avtalen regulerer ikke format, hyppighet, teknisk løsning eller vederlag for slik tilgang (det bekrefter veilederen); uten avtalt pris i bilag 6 gir punktet ikke selvstendig grunnlag for betaling. Teoretisk: «til enhver tid» kan leses som en tilgangsgaranti som går lenger enn tjenestenivået i bilag 4, slik at nedetid innenfor avtalt tjenestenivå likevel anføres som brudd på 7.2.</w:t>
      </w:r>
    </w:p>
    <w:p>
      <w:pPr>
        <w:spacing w:after="100"/>
      </w:pPr>
      <w:r>
        <w:rPr>
          <w:rFonts w:ascii="Calibri" w:cs="Calibri" w:eastAsia="Calibri" w:hAnsi="Calibri"/>
          <w:b/>
          <w:bCs/>
          <w:sz w:val="21"/>
          <w:szCs w:val="21"/>
        </w:rPr>
        <w:t xml:space="preserve">Allerede dekket av: </w:t>
      </w:r>
      <w:r>
        <w:rPr>
          <w:rFonts w:ascii="Calibri" w:cs="Calibri" w:eastAsia="Calibri" w:hAnsi="Calibri"/>
          <w:sz w:val="21"/>
          <w:szCs w:val="21"/>
        </w:rPr>
        <w:t xml:space="preserve">Bilag 4 (tjenestenivå med standardiserte kompensasjoner); punkt 2.2 tredje ledd og 9.1 annet ledd (Leverandøren er ikke ansvarlig for feil i tredjepartsleveranser etter leveringsdag, herunder krav til tjenestenivå, og det foreligger ikke mislighold i slike tilfeller eller ved force majeure); punkt 5.3 (overføring ved opphør); nytt felt i bilag 1 for punkt 7.2 (krav til formater, frister for utlevering av kopier mv.). Ikke dekket: vederlag for tilgang i avtaleperioden.</w:t>
      </w:r>
    </w:p>
    <w:p>
      <w:pPr>
        <w:spacing w:after="100"/>
      </w:pPr>
      <w:r>
        <w:rPr>
          <w:rFonts w:ascii="Calibri" w:cs="Calibri" w:eastAsia="Calibri" w:hAnsi="Calibri"/>
          <w:b/>
          <w:bCs/>
          <w:sz w:val="21"/>
          <w:szCs w:val="21"/>
        </w:rPr>
        <w:t xml:space="preserve">Motargument: </w:t>
      </w:r>
      <w:r>
        <w:rPr>
          <w:rFonts w:ascii="Calibri" w:cs="Calibri" w:eastAsia="Calibri" w:hAnsi="Calibri"/>
          <w:sz w:val="21"/>
          <w:szCs w:val="21"/>
        </w:rPr>
        <w:t xml:space="preserve">Tilgangen skjer normalt gjennom tjenesten selv, og tilgjengeligheten er regulert i bilag 4; teksten gir lite holdepunkt for at punktet skal oppstille et strengere tilgjengelighetskrav.</w:t>
      </w:r>
    </w:p>
    <w:p>
      <w:pPr>
        <w:spacing w:after="100"/>
      </w:pPr>
      <w:r>
        <w:rPr>
          <w:rFonts w:ascii="Calibri" w:cs="Calibri" w:eastAsia="Calibri" w:hAnsi="Calibri"/>
          <w:b/>
          <w:bCs/>
          <w:sz w:val="21"/>
          <w:szCs w:val="21"/>
        </w:rPr>
        <w:t xml:space="preserve">Kilder: </w:t>
      </w:r>
      <w:r>
        <w:rPr>
          <w:rFonts w:ascii="Calibri" w:cs="Calibri" w:eastAsia="Calibri" w:hAnsi="Calibri"/>
          <w:sz w:val="21"/>
          <w:szCs w:val="21"/>
        </w:rPr>
        <w:t xml:space="preserve">Avtalevilkår – ingen lovregel funnet</w:t>
      </w:r>
      <w:r>
        <w:rPr>
          <w:rFonts w:ascii="Calibri" w:cs="Calibri" w:eastAsia="Calibri" w:hAnsi="Calibri"/>
          <w:sz w:val="21"/>
          <w:szCs w:val="21"/>
        </w:rPr>
        <w:t xml:space="preserve">; </w:t>
      </w:r>
      <w:hyperlink w:history="1" r:id="rIdapfh6gx9e1j-rjrtp5xzu">
        <w:r>
          <w:rPr>
            <w:rStyle w:val="Hyperlink"/>
            <w:rFonts w:ascii="Calibri" w:cs="Calibri" w:eastAsia="Calibri" w:hAnsi="Calibri"/>
            <w:sz w:val="21"/>
            <w:szCs w:val="21"/>
          </w:rPr>
          <w:t xml:space="preserve">DFØ: Veileder om rettigheter til data i SSA-ene</w:t>
        </w:r>
      </w:hyperlink>
    </w:p>
    <w:p>
      <w:pPr>
        <w:spacing w:after="40"/>
      </w:pPr>
      <w:r>
        <w:rPr>
          <w:rFonts w:ascii="Calibri" w:cs="Calibri" w:eastAsia="Calibri" w:hAnsi="Calibri"/>
          <w:b/>
          <w:bCs/>
          <w:sz w:val="21"/>
          <w:szCs w:val="21"/>
        </w:rPr>
        <w:t xml:space="preserve">Momenter</w:t>
      </w:r>
    </w:p>
    <w:p>
      <w:pPr>
        <w:pStyle w:val="ListParagraph"/>
        <w:numPr>
          <w:ilvl w:val="0"/>
          <w:numId w:val="2"/>
        </w:numPr>
        <w:spacing w:after="60"/>
      </w:pPr>
      <w:r>
        <w:rPr>
          <w:rFonts w:ascii="Calibri" w:cs="Calibri" w:eastAsia="Calibri" w:hAnsi="Calibri"/>
          <w:sz w:val="21"/>
          <w:szCs w:val="21"/>
        </w:rPr>
        <w:t xml:space="preserve">Forholdet mellom «til enhver tid» og tilgjengelighetskravene i bilag 4 er ikke regulert i teksten.</w:t>
      </w:r>
    </w:p>
    <w:p>
      <w:pPr>
        <w:pStyle w:val="ListParagraph"/>
        <w:numPr>
          <w:ilvl w:val="0"/>
          <w:numId w:val="2"/>
        </w:numPr>
        <w:spacing w:after="60"/>
      </w:pPr>
      <w:r>
        <w:rPr>
          <w:rFonts w:ascii="Calibri" w:cs="Calibri" w:eastAsia="Calibri" w:hAnsi="Calibri"/>
          <w:sz w:val="21"/>
          <w:szCs w:val="21"/>
        </w:rPr>
        <w:t xml:space="preserve">Format, hyppighet og kostnad for tilgang er åpne med mindre bilag 1, 2 eller 6 fastsetter dem.</w:t>
      </w:r>
    </w:p>
    <w:p>
      <w:pPr>
        <w:spacing w:after="160"/>
      </w:pPr>
      <w:r>
        <w:rPr>
          <w:rFonts w:ascii="Calibri" w:cs="Calibri" w:eastAsia="Calibri" w:hAnsi="Calibri"/>
          <w:b/>
          <w:bCs/>
          <w:sz w:val="21"/>
          <w:szCs w:val="21"/>
        </w:rPr>
        <w:t xml:space="preserve">Vurdering: </w:t>
      </w:r>
      <w:r>
        <w:rPr>
          <w:rFonts w:ascii="Calibri" w:cs="Calibri" w:eastAsia="Calibri" w:hAnsi="Calibri"/>
          <w:sz w:val="21"/>
          <w:szCs w:val="21"/>
        </w:rPr>
        <w:t xml:space="preserve">Middels betydning. Sikkerhet: Middels. </w:t>
      </w:r>
      <w:r>
        <w:rPr>
          <w:rFonts w:ascii="Calibri" w:cs="Calibri" w:eastAsia="Calibri" w:hAnsi="Calibri"/>
          <w:b/>
          <w:bCs/>
          <w:sz w:val="21"/>
          <w:szCs w:val="21"/>
        </w:rPr>
        <w:t xml:space="preserve">Kan bli: </w:t>
      </w:r>
      <w:r>
        <w:rPr>
          <w:rFonts w:ascii="Calibri" w:cs="Calibri" w:eastAsia="Calibri" w:hAnsi="Calibri"/>
          <w:sz w:val="21"/>
          <w:szCs w:val="21"/>
        </w:rPr>
        <w:t xml:space="preserve">Lav dersom tjenesten allerede gir Kunden full selvbetjent eksport.</w:t>
      </w:r>
    </w:p>
    <w:p>
      <w:pPr>
        <w:pStyle w:val="Heading2"/>
        <w:spacing w:after="100" w:before="240"/>
      </w:pPr>
      <w:r>
        <w:rPr>
          <w:rFonts w:ascii="Calibri" w:cs="Calibri" w:eastAsia="Calibri" w:hAnsi="Calibri"/>
          <w:color w:val="B7791F"/>
        </w:rPr>
        <w:t xml:space="preserve">🟡 M3 – Data skal tilgjengeliggjøres i åpent, maskinlesbart format ved opphør</w:t>
      </w:r>
    </w:p>
    <w:p>
      <w:pPr>
        <w:spacing w:after="100"/>
      </w:pPr>
      <w:r>
        <w:rPr>
          <w:rFonts w:ascii="Calibri" w:cs="Calibri" w:eastAsia="Calibri" w:hAnsi="Calibri"/>
          <w:b/>
          <w:bCs/>
          <w:sz w:val="21"/>
          <w:szCs w:val="21"/>
        </w:rPr>
        <w:t xml:space="preserve">Punkt: </w:t>
      </w:r>
      <w:r>
        <w:rPr>
          <w:rFonts w:ascii="Calibri" w:cs="Calibri" w:eastAsia="Calibri" w:hAnsi="Calibri"/>
          <w:sz w:val="21"/>
          <w:szCs w:val="21"/>
        </w:rPr>
        <w:t xml:space="preserve">Punkt 7.2 tredje ledd første punktum (nytt)</w:t>
      </w:r>
    </w:p>
    <w:p>
      <w:pPr>
        <w:spacing w:after="100"/>
      </w:pPr>
      <w:r>
        <w:rPr>
          <w:rFonts w:ascii="Calibri" w:cs="Calibri" w:eastAsia="Calibri" w:hAnsi="Calibri"/>
          <w:b/>
          <w:bCs/>
          <w:sz w:val="21"/>
          <w:szCs w:val="21"/>
        </w:rPr>
        <w:t xml:space="preserve">Endring: </w:t>
      </w:r>
      <w:r>
        <w:rPr>
          <w:rFonts w:ascii="Calibri" w:cs="Calibri" w:eastAsia="Calibri" w:hAnsi="Calibri"/>
          <w:sz w:val="21"/>
          <w:szCs w:val="21"/>
        </w:rPr>
        <w:t xml:space="preserve">Nytt: Leverandøren skal ved opphør tilgjengeliggjøre data til Kunden eller den Kunden utpeker «på et allment tilgjengelig og maskinleselig format, med opprinnelige strukturer og metadata intakt, jf. også punkt 5.3».</w:t>
      </w:r>
    </w:p>
    <w:p>
      <w:pPr>
        <w:spacing w:after="100"/>
      </w:pPr>
      <w:r>
        <w:rPr>
          <w:rFonts w:ascii="Calibri" w:cs="Calibri" w:eastAsia="Calibri" w:hAnsi="Calibri"/>
          <w:b/>
          <w:bCs/>
          <w:sz w:val="21"/>
          <w:szCs w:val="21"/>
        </w:rPr>
        <w:t xml:space="preserve">Virkning for Leverandøren: </w:t>
      </w:r>
      <w:r>
        <w:rPr>
          <w:rFonts w:ascii="Calibri" w:cs="Calibri" w:eastAsia="Calibri" w:hAnsi="Calibri"/>
          <w:sz w:val="21"/>
          <w:szCs w:val="21"/>
        </w:rPr>
        <w:t xml:space="preserve">Realistisk: Overføring av data med strukturer og metadata var allerede pålagt i punkt 5.3. Det nye er kravet til format: ifølge veilederen et åpent, dokumentert format (eksempler: JSON, CSV, XML), der proprietære formater er mindre egnet. Har tjenesten bare proprietær eksport, kan det kreve utviklingsarbeid. Henvisningen til punkt 5.3 trekker i retning av at timeprisene i bilag 6 gjelder for arbeidet, unntatt når opphøret skyldes Leverandørens vesentlige mislighold.</w:t>
      </w:r>
    </w:p>
    <w:p>
      <w:pPr>
        <w:spacing w:after="100"/>
      </w:pPr>
      <w:r>
        <w:rPr>
          <w:rFonts w:ascii="Calibri" w:cs="Calibri" w:eastAsia="Calibri" w:hAnsi="Calibri"/>
          <w:b/>
          <w:bCs/>
          <w:sz w:val="21"/>
          <w:szCs w:val="21"/>
        </w:rPr>
        <w:t xml:space="preserve">Allerede dekket av: </w:t>
      </w:r>
      <w:r>
        <w:rPr>
          <w:rFonts w:ascii="Calibri" w:cs="Calibri" w:eastAsia="Calibri" w:hAnsi="Calibri"/>
          <w:sz w:val="21"/>
          <w:szCs w:val="21"/>
        </w:rPr>
        <w:t xml:space="preserve">Punkt 5.3 tredje ledd nr. 1 og 5 (overføring av Kundens data og sikkerhetskopier med datastrukturer og metadata; alle andre data som tilhører Kunden) og fjerde ledd (betaling etter timepriser i bilag 6); feltet i bilag 6 for timepriser etter punkt 5.3.</w:t>
      </w:r>
    </w:p>
    <w:p>
      <w:pPr>
        <w:spacing w:after="100"/>
      </w:pPr>
      <w:r>
        <w:rPr>
          <w:rFonts w:ascii="Calibri" w:cs="Calibri" w:eastAsia="Calibri" w:hAnsi="Calibri"/>
          <w:b/>
          <w:bCs/>
          <w:sz w:val="21"/>
          <w:szCs w:val="21"/>
        </w:rPr>
        <w:t xml:space="preserve">Motargument: </w:t>
      </w:r>
      <w:r>
        <w:rPr>
          <w:rFonts w:ascii="Calibri" w:cs="Calibri" w:eastAsia="Calibri" w:hAnsi="Calibri"/>
          <w:sz w:val="21"/>
          <w:szCs w:val="21"/>
        </w:rPr>
        <w:t xml:space="preserve">Det materielle innholdet – strukturer og metadata – fulgte allerede av punkt 5.3; endringen presiserer formatet.</w:t>
      </w:r>
    </w:p>
    <w:p>
      <w:pPr>
        <w:spacing w:after="100"/>
      </w:pPr>
      <w:r>
        <w:rPr>
          <w:rFonts w:ascii="Calibri" w:cs="Calibri" w:eastAsia="Calibri" w:hAnsi="Calibri"/>
          <w:b/>
          <w:bCs/>
          <w:sz w:val="21"/>
          <w:szCs w:val="21"/>
        </w:rPr>
        <w:t xml:space="preserve">Kilder: </w:t>
      </w:r>
      <w:r>
        <w:rPr>
          <w:rFonts w:ascii="Calibri" w:cs="Calibri" w:eastAsia="Calibri" w:hAnsi="Calibri"/>
          <w:sz w:val="21"/>
          <w:szCs w:val="21"/>
        </w:rPr>
        <w:t xml:space="preserve">Avtalevilkår</w:t>
      </w:r>
      <w:r>
        <w:rPr>
          <w:rFonts w:ascii="Calibri" w:cs="Calibri" w:eastAsia="Calibri" w:hAnsi="Calibri"/>
          <w:sz w:val="21"/>
          <w:szCs w:val="21"/>
        </w:rPr>
        <w:t xml:space="preserve">; </w:t>
      </w:r>
      <w:hyperlink w:history="1" r:id="rIdvprt-y-_tihcpegkl1bcr">
        <w:r>
          <w:rPr>
            <w:rStyle w:val="Hyperlink"/>
            <w:rFonts w:ascii="Calibri" w:cs="Calibri" w:eastAsia="Calibri" w:hAnsi="Calibri"/>
            <w:sz w:val="21"/>
            <w:szCs w:val="21"/>
          </w:rPr>
          <w:t xml:space="preserve">DFØ: Veileder om rettigheter til data i SSA-ene</w:t>
        </w:r>
      </w:hyperlink>
      <w:r>
        <w:rPr>
          <w:rFonts w:ascii="Calibri" w:cs="Calibri" w:eastAsia="Calibri" w:hAnsi="Calibri"/>
          <w:sz w:val="21"/>
          <w:szCs w:val="21"/>
        </w:rPr>
        <w:t xml:space="preserve">; </w:t>
      </w:r>
      <w:hyperlink w:history="1" r:id="rIdwyuq4enpeznf0_elqsifn">
        <w:r>
          <w:rPr>
            <w:rStyle w:val="Hyperlink"/>
            <w:rFonts w:ascii="Calibri" w:cs="Calibri" w:eastAsia="Calibri" w:hAnsi="Calibri"/>
            <w:sz w:val="21"/>
            <w:szCs w:val="21"/>
          </w:rPr>
          <w:t xml:space="preserve">Data Act (EU) 2023/2854 art. 25</w:t>
        </w:r>
      </w:hyperlink>
      <w:r>
        <w:rPr>
          <w:rFonts w:ascii="Calibri" w:cs="Calibri" w:eastAsia="Calibri" w:hAnsi="Calibri"/>
          <w:sz w:val="21"/>
          <w:szCs w:val="21"/>
        </w:rPr>
        <w:t xml:space="preserve">; </w:t>
      </w:r>
      <w:hyperlink w:history="1" r:id="rIdnex_9wsot5fs1-ylbisj-">
        <w:r>
          <w:rPr>
            <w:rStyle w:val="Hyperlink"/>
            <w:rFonts w:ascii="Calibri" w:cs="Calibri" w:eastAsia="Calibri" w:hAnsi="Calibri"/>
            <w:sz w:val="21"/>
            <w:szCs w:val="21"/>
          </w:rPr>
          <w:t xml:space="preserve">EEA-Lex: status for Data Act</w:t>
        </w:r>
      </w:hyperlink>
      <w:r>
        <w:rPr>
          <w:rFonts w:ascii="Calibri" w:cs="Calibri" w:eastAsia="Calibri" w:hAnsi="Calibri"/>
          <w:sz w:val="21"/>
          <w:szCs w:val="21"/>
        </w:rPr>
        <w:t xml:space="preserve">; </w:t>
      </w:r>
      <w:hyperlink w:history="1" r:id="rIder6grxbpc7o050m5zocos">
        <w:r>
          <w:rPr>
            <w:rStyle w:val="Hyperlink"/>
            <w:rFonts w:ascii="Calibri" w:cs="Calibri" w:eastAsia="Calibri" w:hAnsi="Calibri"/>
            <w:sz w:val="21"/>
            <w:szCs w:val="21"/>
          </w:rPr>
          <w:t xml:space="preserve">dataforvaltningsloven § 9</w:t>
        </w:r>
      </w:hyperlink>
    </w:p>
    <w:p>
      <w:pPr>
        <w:spacing w:after="100"/>
      </w:pPr>
      <w:r>
        <w:rPr>
          <w:rFonts w:ascii="Calibri" w:cs="Calibri" w:eastAsia="Calibri" w:hAnsi="Calibri"/>
          <w:i/>
          <w:iCs/>
          <w:sz w:val="19"/>
          <w:szCs w:val="19"/>
        </w:rPr>
        <w:t xml:space="preserve">Bakgrunn, ikke gjeldende norsk rett: EUs dataforordning (Data Act) art. 25 har krav til avtalevilkår om leverandørbytte og eksport, men er ikke innlemmet i EØS-avtalen per 29.10.2026. Dataforvaltningsloven § 9 (formater og metadata) er vedtatt, men ikke i kraft, og gjelder offentlige virksomheters tilgjengeliggjøring – ikke Leverandøren.</w:t>
      </w:r>
    </w:p>
    <w:p>
      <w:pPr>
        <w:spacing w:after="40"/>
      </w:pPr>
      <w:r>
        <w:rPr>
          <w:rFonts w:ascii="Calibri" w:cs="Calibri" w:eastAsia="Calibri" w:hAnsi="Calibri"/>
          <w:b/>
          <w:bCs/>
          <w:sz w:val="21"/>
          <w:szCs w:val="21"/>
        </w:rPr>
        <w:t xml:space="preserve">Momenter</w:t>
      </w:r>
    </w:p>
    <w:p>
      <w:pPr>
        <w:pStyle w:val="ListParagraph"/>
        <w:numPr>
          <w:ilvl w:val="0"/>
          <w:numId w:val="2"/>
        </w:numPr>
        <w:spacing w:after="60"/>
      </w:pPr>
      <w:r>
        <w:rPr>
          <w:rFonts w:ascii="Calibri" w:cs="Calibri" w:eastAsia="Calibri" w:hAnsi="Calibri"/>
          <w:sz w:val="21"/>
          <w:szCs w:val="21"/>
        </w:rPr>
        <w:t xml:space="preserve">Punkt 5.3 og timeprisfeltet i bilag 6 dekker allerede betaling for overføring; kravet til åpent, maskinlesbart format er det eneste nye elementet.</w:t>
      </w:r>
    </w:p>
    <w:p>
      <w:pPr>
        <w:pStyle w:val="ListParagraph"/>
        <w:numPr>
          <w:ilvl w:val="0"/>
          <w:numId w:val="2"/>
        </w:numPr>
        <w:spacing w:after="60"/>
      </w:pPr>
      <w:r>
        <w:rPr>
          <w:rFonts w:ascii="Calibri" w:cs="Calibri" w:eastAsia="Calibri" w:hAnsi="Calibri"/>
          <w:sz w:val="21"/>
          <w:szCs w:val="21"/>
        </w:rPr>
        <w:t xml:space="preserve">Ingen frist for tilgjengeliggjøring er satt ut over «ved avtalens opphør».</w:t>
      </w:r>
    </w:p>
    <w:p>
      <w:pPr>
        <w:spacing w:after="160"/>
      </w:pPr>
      <w:r>
        <w:rPr>
          <w:rFonts w:ascii="Calibri" w:cs="Calibri" w:eastAsia="Calibri" w:hAnsi="Calibri"/>
          <w:b/>
          <w:bCs/>
          <w:sz w:val="21"/>
          <w:szCs w:val="21"/>
        </w:rPr>
        <w:t xml:space="preserve">Vurdering: </w:t>
      </w:r>
      <w:r>
        <w:rPr>
          <w:rFonts w:ascii="Calibri" w:cs="Calibri" w:eastAsia="Calibri" w:hAnsi="Calibri"/>
          <w:sz w:val="21"/>
          <w:szCs w:val="21"/>
        </w:rPr>
        <w:t xml:space="preserve">Middels betydning. Sikkerhet: Høy. </w:t>
      </w:r>
      <w:r>
        <w:rPr>
          <w:rFonts w:ascii="Calibri" w:cs="Calibri" w:eastAsia="Calibri" w:hAnsi="Calibri"/>
          <w:b/>
          <w:bCs/>
          <w:sz w:val="21"/>
          <w:szCs w:val="21"/>
        </w:rPr>
        <w:t xml:space="preserve">Kan bli: </w:t>
      </w:r>
      <w:r>
        <w:rPr>
          <w:rFonts w:ascii="Calibri" w:cs="Calibri" w:eastAsia="Calibri" w:hAnsi="Calibri"/>
          <w:sz w:val="21"/>
          <w:szCs w:val="21"/>
        </w:rPr>
        <w:t xml:space="preserve">Lav dersom tjenestens eksport allerede bruker åpne, dokumenterte formater.</w:t>
      </w:r>
    </w:p>
    <w:p>
      <w:pPr>
        <w:pStyle w:val="Heading2"/>
        <w:spacing w:after="100" w:before="240"/>
      </w:pPr>
      <w:r>
        <w:rPr>
          <w:rFonts w:ascii="Calibri" w:cs="Calibri" w:eastAsia="Calibri" w:hAnsi="Calibri"/>
          <w:color w:val="B7791F"/>
        </w:rPr>
        <w:t xml:space="preserve">🟡 M4 – Plikt til å slette alle egne kopier av Kundens data ved opphør</w:t>
      </w:r>
    </w:p>
    <w:p>
      <w:pPr>
        <w:spacing w:after="100"/>
      </w:pPr>
      <w:r>
        <w:rPr>
          <w:rFonts w:ascii="Calibri" w:cs="Calibri" w:eastAsia="Calibri" w:hAnsi="Calibri"/>
          <w:b/>
          <w:bCs/>
          <w:sz w:val="21"/>
          <w:szCs w:val="21"/>
        </w:rPr>
        <w:t xml:space="preserve">Punkt: </w:t>
      </w:r>
      <w:r>
        <w:rPr>
          <w:rFonts w:ascii="Calibri" w:cs="Calibri" w:eastAsia="Calibri" w:hAnsi="Calibri"/>
          <w:sz w:val="21"/>
          <w:szCs w:val="21"/>
        </w:rPr>
        <w:t xml:space="preserve">Punkt 7.2 tredje ledd annet punktum (nytt)</w:t>
      </w:r>
    </w:p>
    <w:p>
      <w:pPr>
        <w:spacing w:after="100"/>
      </w:pPr>
      <w:r>
        <w:rPr>
          <w:rFonts w:ascii="Calibri" w:cs="Calibri" w:eastAsia="Calibri" w:hAnsi="Calibri"/>
          <w:b/>
          <w:bCs/>
          <w:sz w:val="21"/>
          <w:szCs w:val="21"/>
        </w:rPr>
        <w:t xml:space="preserve">Endring: </w:t>
      </w:r>
      <w:r>
        <w:rPr>
          <w:rFonts w:ascii="Calibri" w:cs="Calibri" w:eastAsia="Calibri" w:hAnsi="Calibri"/>
          <w:sz w:val="21"/>
          <w:szCs w:val="21"/>
        </w:rPr>
        <w:t xml:space="preserve">Nytt: «Dersom ikke annet fremgår av Bilag 1, skal Leverandøren ved Avtalens opphør slette alle egne kopier av Kundens data.» 2018-teksten hadde ingen slettebestemmelse.</w:t>
      </w:r>
    </w:p>
    <w:p>
      <w:pPr>
        <w:spacing w:after="100"/>
      </w:pPr>
      <w:r>
        <w:rPr>
          <w:rFonts w:ascii="Calibri" w:cs="Calibri" w:eastAsia="Calibri" w:hAnsi="Calibri"/>
          <w:b/>
          <w:bCs/>
          <w:sz w:val="21"/>
          <w:szCs w:val="21"/>
        </w:rPr>
        <w:t xml:space="preserve">Virkning for Leverandøren: </w:t>
      </w:r>
      <w:r>
        <w:rPr>
          <w:rFonts w:ascii="Calibri" w:cs="Calibri" w:eastAsia="Calibri" w:hAnsi="Calibri"/>
          <w:sz w:val="21"/>
          <w:szCs w:val="21"/>
        </w:rPr>
        <w:t xml:space="preserve">Realistisk: Plikten er ubetinget i ordlyden – ingen unntak for lovpålagt oppbevaring, ingen særregel for sikkerhetskopier og ingen frist ut over «ved Avtalens opphør». Erstatningsbegrensningen i 9.2.7 gjelder ikke ved grov uaktsomhet eller forsett, og etter punkt 6.2 heller ikke for ansvar etter personvernforordningen art. 82 – manglende sletting av personopplysninger kan dermed gi ubegrenset ansvar overfor de registrerte. Om 9.2.7 («samlet erstatning … i avtaleperioden») når et brudd som skjer etter opphør, er ikke avklart. Uklarheter: (1) tidspunktet faller sammen med tilgjengeliggjøringen, mens punkt 5.3 gir Kunden krav på oppfølgende bistand i inntil 30 dager etter etablering hos ny leverandør, også etter opphør, og punkt 5.4 gir Kunden rett til forlengelse på like vilkår i inntil 6 måneder; (2) «Kundens data» er ikke definert, og første ledd gir Kunden rettighetene til et vidt spekter av data, også logger; (3) forholdet til data Leverandøren kan bruke etter femte ledd er ikke angitt; (4) «alle egne kopier» kan leses som ikke å omfatte kopier hos underleverandører, mens punkt 6.2 krever at underleverandører pålegges tilsvarende plikter for personopplysninger. Teoretisk: krav fordi data er slettet før Kunden har kontrollert sin kopi – avtalen krever ikke Kundens godkjenning før sletting.</w:t>
      </w:r>
    </w:p>
    <w:p>
      <w:pPr>
        <w:spacing w:after="100"/>
      </w:pPr>
      <w:r>
        <w:rPr>
          <w:rFonts w:ascii="Calibri" w:cs="Calibri" w:eastAsia="Calibri" w:hAnsi="Calibri"/>
          <w:b/>
          <w:bCs/>
          <w:sz w:val="21"/>
          <w:szCs w:val="21"/>
        </w:rPr>
        <w:t xml:space="preserve">Allerede dekket av: </w:t>
      </w:r>
      <w:r>
        <w:rPr>
          <w:rFonts w:ascii="Calibri" w:cs="Calibri" w:eastAsia="Calibri" w:hAnsi="Calibri"/>
          <w:sz w:val="21"/>
          <w:szCs w:val="21"/>
        </w:rPr>
        <w:t xml:space="preserve">For personopplysninger: punkt 6.2 gir databehandleravtalen forrang ved motstrid, og personvernforordningen art. 28 nr. 3 bokstav g krever at databehandleravtalen fastsetter at databehandleren sletter eller tilbakeleverer, «med mindre unionsretten eller medlemsstatenes nasjonale rett krever at personopplysningene lagres». Bilag 1 kan fastsette noe annet. DFØs veileder legger til grunn at lovpålagt oppbevaring går foran sletteplikten (veilederen er ikke bindende).</w:t>
      </w:r>
    </w:p>
    <w:p>
      <w:pPr>
        <w:spacing w:after="100"/>
      </w:pPr>
      <w:r>
        <w:rPr>
          <w:rFonts w:ascii="Calibri" w:cs="Calibri" w:eastAsia="Calibri" w:hAnsi="Calibri"/>
          <w:b/>
          <w:bCs/>
          <w:sz w:val="21"/>
          <w:szCs w:val="21"/>
        </w:rPr>
        <w:t xml:space="preserve">Motargument: </w:t>
      </w:r>
      <w:r>
        <w:rPr>
          <w:rFonts w:ascii="Calibri" w:cs="Calibri" w:eastAsia="Calibri" w:hAnsi="Calibri"/>
          <w:sz w:val="21"/>
          <w:szCs w:val="21"/>
        </w:rPr>
        <w:t xml:space="preserve">Både veilederen og det alminnelige utgangspunktet om at en avtale ikke kan pålegge en part å bryte lov, taler for at lovpålagt oppbevaring går foran; databehandleravtaler gjengir ofte unntaket i art. 28 nr. 3 bokstav g.</w:t>
      </w:r>
    </w:p>
    <w:p>
      <w:pPr>
        <w:spacing w:after="100"/>
      </w:pPr>
      <w:r>
        <w:rPr>
          <w:rFonts w:ascii="Calibri" w:cs="Calibri" w:eastAsia="Calibri" w:hAnsi="Calibri"/>
          <w:b/>
          <w:bCs/>
          <w:sz w:val="21"/>
          <w:szCs w:val="21"/>
        </w:rPr>
        <w:t xml:space="preserve">Kilder: </w:t>
      </w:r>
      <w:hyperlink w:history="1" r:id="rId40ddxybzs4bqhewu4xwom">
        <w:r>
          <w:rPr>
            <w:rStyle w:val="Hyperlink"/>
            <w:rFonts w:ascii="Calibri" w:cs="Calibri" w:eastAsia="Calibri" w:hAnsi="Calibri"/>
            <w:sz w:val="21"/>
            <w:szCs w:val="21"/>
          </w:rPr>
          <w:t xml:space="preserve">personvernforordningen art. 28</w:t>
        </w:r>
      </w:hyperlink>
      <w:r>
        <w:rPr>
          <w:rFonts w:ascii="Calibri" w:cs="Calibri" w:eastAsia="Calibri" w:hAnsi="Calibri"/>
          <w:sz w:val="21"/>
          <w:szCs w:val="21"/>
        </w:rPr>
        <w:t xml:space="preserve">; </w:t>
      </w:r>
      <w:hyperlink w:history="1" r:id="rIdrhfv61u_yoxsi2ueqlmxu">
        <w:r>
          <w:rPr>
            <w:rStyle w:val="Hyperlink"/>
            <w:rFonts w:ascii="Calibri" w:cs="Calibri" w:eastAsia="Calibri" w:hAnsi="Calibri"/>
            <w:sz w:val="21"/>
            <w:szCs w:val="21"/>
          </w:rPr>
          <w:t xml:space="preserve">personopplysningsloven § 1</w:t>
        </w:r>
      </w:hyperlink>
      <w:r>
        <w:rPr>
          <w:rFonts w:ascii="Calibri" w:cs="Calibri" w:eastAsia="Calibri" w:hAnsi="Calibri"/>
          <w:sz w:val="21"/>
          <w:szCs w:val="21"/>
        </w:rPr>
        <w:t xml:space="preserve">; </w:t>
      </w:r>
      <w:hyperlink w:history="1" r:id="rIdvkuookdsn_wad8qiyrwn1">
        <w:r>
          <w:rPr>
            <w:rStyle w:val="Hyperlink"/>
            <w:rFonts w:ascii="Calibri" w:cs="Calibri" w:eastAsia="Calibri" w:hAnsi="Calibri"/>
            <w:sz w:val="21"/>
            <w:szCs w:val="21"/>
          </w:rPr>
          <w:t xml:space="preserve">bokføringsloven § 13</w:t>
        </w:r>
      </w:hyperlink>
      <w:r>
        <w:rPr>
          <w:rFonts w:ascii="Calibri" w:cs="Calibri" w:eastAsia="Calibri" w:hAnsi="Calibri"/>
          <w:sz w:val="21"/>
          <w:szCs w:val="21"/>
        </w:rPr>
        <w:t xml:space="preserve">; </w:t>
      </w:r>
      <w:hyperlink w:history="1" r:id="rIdudhyn4-9x6jx9hfqr6pzx">
        <w:r>
          <w:rPr>
            <w:rStyle w:val="Hyperlink"/>
            <w:rFonts w:ascii="Calibri" w:cs="Calibri" w:eastAsia="Calibri" w:hAnsi="Calibri"/>
            <w:sz w:val="21"/>
            <w:szCs w:val="21"/>
          </w:rPr>
          <w:t xml:space="preserve">DFØ: Veileder om rettigheter til data i SSA-ene</w:t>
        </w:r>
      </w:hyperlink>
    </w:p>
    <w:p>
      <w:pPr>
        <w:spacing w:after="100"/>
      </w:pPr>
      <w:r>
        <w:rPr>
          <w:rFonts w:ascii="Calibri" w:cs="Calibri" w:eastAsia="Calibri" w:hAnsi="Calibri"/>
          <w:i/>
          <w:iCs/>
          <w:sz w:val="19"/>
          <w:szCs w:val="19"/>
        </w:rPr>
        <w:t xml:space="preserve">Omfangstest: bokføringsloven § 13 gjelder Leverandørens eget regnskapsmateriale (bl.a. avtaler og dokumentasjon av bokførte opplysninger), ikke Kundens tjenestedata. Fordi «Kundens data» er vidt formulert (M1), kan likevel fakturagrunnlag som brukertall være omfattet av begge; da peker § 13 første ledd nr. 3 mot oppbevaring. § 13 endres med virkning fra 1.1.2027.</w:t>
      </w:r>
    </w:p>
    <w:p>
      <w:pPr>
        <w:spacing w:after="40"/>
      </w:pPr>
      <w:r>
        <w:rPr>
          <w:rFonts w:ascii="Calibri" w:cs="Calibri" w:eastAsia="Calibri" w:hAnsi="Calibri"/>
          <w:b/>
          <w:bCs/>
          <w:sz w:val="21"/>
          <w:szCs w:val="21"/>
        </w:rPr>
        <w:t xml:space="preserve">Momenter</w:t>
      </w:r>
    </w:p>
    <w:p>
      <w:pPr>
        <w:pStyle w:val="ListParagraph"/>
        <w:numPr>
          <w:ilvl w:val="0"/>
          <w:numId w:val="2"/>
        </w:numPr>
        <w:spacing w:after="60"/>
      </w:pPr>
      <w:r>
        <w:rPr>
          <w:rFonts w:ascii="Calibri" w:cs="Calibri" w:eastAsia="Calibri" w:hAnsi="Calibri"/>
          <w:sz w:val="21"/>
          <w:szCs w:val="21"/>
        </w:rPr>
        <w:t xml:space="preserve">Unntaket for lovpålagt lagring følger av art. 28 nr. 3 bokstav g bare for personopplysninger, og bare gjennom en databehandleravtale som har unntaket; for andre data står det ikke i avtaleteksten.</w:t>
      </w:r>
    </w:p>
    <w:p>
      <w:pPr>
        <w:pStyle w:val="ListParagraph"/>
        <w:numPr>
          <w:ilvl w:val="0"/>
          <w:numId w:val="2"/>
        </w:numPr>
        <w:spacing w:after="60"/>
      </w:pPr>
      <w:r>
        <w:rPr>
          <w:rFonts w:ascii="Calibri" w:cs="Calibri" w:eastAsia="Calibri" w:hAnsi="Calibri"/>
          <w:sz w:val="21"/>
          <w:szCs w:val="21"/>
        </w:rPr>
        <w:t xml:space="preserve">Sletting «ved Avtalens opphør» og oppfølgende bistand etter punkt 5.3, som kan løpe etter opphør, er ikke samordnet i teksten.</w:t>
      </w:r>
    </w:p>
    <w:p>
      <w:pPr>
        <w:pStyle w:val="ListParagraph"/>
        <w:numPr>
          <w:ilvl w:val="0"/>
          <w:numId w:val="2"/>
        </w:numPr>
        <w:spacing w:after="60"/>
      </w:pPr>
      <w:r>
        <w:rPr>
          <w:rFonts w:ascii="Calibri" w:cs="Calibri" w:eastAsia="Calibri" w:hAnsi="Calibri"/>
          <w:sz w:val="21"/>
          <w:szCs w:val="21"/>
        </w:rPr>
        <w:t xml:space="preserve">Om sikkerhetskopier kan slettes selektivt, avhenger av Leverandørens tekniske oppsett.</w:t>
      </w:r>
    </w:p>
    <w:p>
      <w:pPr>
        <w:spacing w:after="160"/>
      </w:pPr>
      <w:r>
        <w:rPr>
          <w:rFonts w:ascii="Calibri" w:cs="Calibri" w:eastAsia="Calibri" w:hAnsi="Calibri"/>
          <w:b/>
          <w:bCs/>
          <w:sz w:val="21"/>
          <w:szCs w:val="21"/>
        </w:rPr>
        <w:t xml:space="preserve">Vurdering: </w:t>
      </w:r>
      <w:r>
        <w:rPr>
          <w:rFonts w:ascii="Calibri" w:cs="Calibri" w:eastAsia="Calibri" w:hAnsi="Calibri"/>
          <w:sz w:val="21"/>
          <w:szCs w:val="21"/>
        </w:rPr>
        <w:t xml:space="preserve">Middels betydning. Sikkerhet: Middels. </w:t>
      </w:r>
      <w:r>
        <w:rPr>
          <w:rFonts w:ascii="Calibri" w:cs="Calibri" w:eastAsia="Calibri" w:hAnsi="Calibri"/>
          <w:b/>
          <w:bCs/>
          <w:sz w:val="21"/>
          <w:szCs w:val="21"/>
        </w:rPr>
        <w:t xml:space="preserve">Kan bli: </w:t>
      </w:r>
      <w:r>
        <w:rPr>
          <w:rFonts w:ascii="Calibri" w:cs="Calibri" w:eastAsia="Calibri" w:hAnsi="Calibri"/>
          <w:sz w:val="21"/>
          <w:szCs w:val="21"/>
        </w:rPr>
        <w:t xml:space="preserve">Høy dersom databehandleravtalen ikke har unntaket i art. 28 nr. 3 bokstav g, eller sikkerhetskopier ikke kan slettes selektivt.</w:t>
      </w:r>
    </w:p>
    <w:p>
      <w:pPr>
        <w:pStyle w:val="Heading2"/>
        <w:spacing w:after="100" w:before="240"/>
      </w:pPr>
      <w:r>
        <w:rPr>
          <w:rFonts w:ascii="Calibri" w:cs="Calibri" w:eastAsia="Calibri" w:hAnsi="Calibri"/>
          <w:color w:val="B7791F"/>
        </w:rPr>
        <w:t xml:space="preserve">🟡 M5 – Ny rett til å bruke anonymiserte data om Kundens bruk</w:t>
      </w:r>
    </w:p>
    <w:p>
      <w:pPr>
        <w:spacing w:after="100"/>
      </w:pPr>
      <w:r>
        <w:rPr>
          <w:rFonts w:ascii="Calibri" w:cs="Calibri" w:eastAsia="Calibri" w:hAnsi="Calibri"/>
          <w:b/>
          <w:bCs/>
          <w:sz w:val="21"/>
          <w:szCs w:val="21"/>
        </w:rPr>
        <w:t xml:space="preserve">Punkt: </w:t>
      </w:r>
      <w:r>
        <w:rPr>
          <w:rFonts w:ascii="Calibri" w:cs="Calibri" w:eastAsia="Calibri" w:hAnsi="Calibri"/>
          <w:sz w:val="21"/>
          <w:szCs w:val="21"/>
        </w:rPr>
        <w:t xml:space="preserve">Punkt 7.2 femte ledd første punktum (nytt)</w:t>
      </w:r>
    </w:p>
    <w:p>
      <w:pPr>
        <w:spacing w:after="100"/>
      </w:pPr>
      <w:r>
        <w:rPr>
          <w:rFonts w:ascii="Calibri" w:cs="Calibri" w:eastAsia="Calibri" w:hAnsi="Calibri"/>
          <w:b/>
          <w:bCs/>
          <w:sz w:val="21"/>
          <w:szCs w:val="21"/>
        </w:rPr>
        <w:t xml:space="preserve">Endring: </w:t>
      </w:r>
      <w:r>
        <w:rPr>
          <w:rFonts w:ascii="Calibri" w:cs="Calibri" w:eastAsia="Calibri" w:hAnsi="Calibri"/>
          <w:sz w:val="21"/>
          <w:szCs w:val="21"/>
        </w:rPr>
        <w:t xml:space="preserve">Nytt: Leverandøren kan benytte anonymiserte data angående Kundens bruk av tjenesten til å forbedre sine tjenester, med mindre Kunden har tatt forbehold om det i bilag 1.</w:t>
      </w:r>
    </w:p>
    <w:p>
      <w:pPr>
        <w:spacing w:after="100"/>
      </w:pPr>
      <w:r>
        <w:rPr>
          <w:rFonts w:ascii="Calibri" w:cs="Calibri" w:eastAsia="Calibri" w:hAnsi="Calibri"/>
          <w:b/>
          <w:bCs/>
          <w:sz w:val="21"/>
          <w:szCs w:val="21"/>
        </w:rPr>
        <w:t xml:space="preserve">Virkning for Leverandøren: </w:t>
      </w:r>
      <w:r>
        <w:rPr>
          <w:rFonts w:ascii="Calibri" w:cs="Calibri" w:eastAsia="Calibri" w:hAnsi="Calibri"/>
          <w:sz w:val="21"/>
          <w:szCs w:val="21"/>
        </w:rPr>
        <w:t xml:space="preserve">Gunstig for Leverandøren: en uttrykkelig rett som 2018-teksten ikke hadde (der hadde Leverandøren tilgang «utelukkende» for å oppfylle avtalen). Vilkår som kan brytes: dataene skal være anonymiserte. Opplysninger som direkte eller indirekte kan knyttes til en fysisk person, er personopplysninger (art. 4 nr. 1). Selve anonymiseringen er en behandling av personopplysninger; en databehandler som i strid med forordningen fastsetter formålene med og midlene for en behandling, anses som behandlingsansvarlig for den (art. 28 nr. 10). Retten faller bort hvis Kunden tar forbehold i bilag 1.</w:t>
      </w:r>
    </w:p>
    <w:p>
      <w:pPr>
        <w:spacing w:after="100"/>
      </w:pPr>
      <w:r>
        <w:rPr>
          <w:rFonts w:ascii="Calibri" w:cs="Calibri" w:eastAsia="Calibri" w:hAnsi="Calibri"/>
          <w:b/>
          <w:bCs/>
          <w:sz w:val="21"/>
          <w:szCs w:val="21"/>
        </w:rPr>
        <w:t xml:space="preserve">Allerede dekket av: </w:t>
      </w:r>
      <w:r>
        <w:rPr>
          <w:rFonts w:ascii="Calibri" w:cs="Calibri" w:eastAsia="Calibri" w:hAnsi="Calibri"/>
          <w:sz w:val="21"/>
          <w:szCs w:val="21"/>
        </w:rPr>
        <w:t xml:space="preserve">Punkt 6.2 (databehandleravtalen har forrang ved motstrid om behandling av personopplysninger); punkt 11 (taushetsplikt).</w:t>
      </w:r>
    </w:p>
    <w:p>
      <w:pPr>
        <w:spacing w:after="100"/>
      </w:pPr>
      <w:r>
        <w:rPr>
          <w:rFonts w:ascii="Calibri" w:cs="Calibri" w:eastAsia="Calibri" w:hAnsi="Calibri"/>
          <w:b/>
          <w:bCs/>
          <w:sz w:val="21"/>
          <w:szCs w:val="21"/>
        </w:rPr>
        <w:t xml:space="preserve">Motargument: </w:t>
      </w:r>
      <w:r>
        <w:rPr>
          <w:rFonts w:ascii="Calibri" w:cs="Calibri" w:eastAsia="Calibri" w:hAnsi="Calibri"/>
          <w:sz w:val="21"/>
          <w:szCs w:val="21"/>
        </w:rPr>
        <w:t xml:space="preserve">Aggregerte bruksdata uten person- eller kundereferanser er etter veilederen lav risiko, og mye bruksstatistikk vil aldri ha vært personopplysninger.</w:t>
      </w:r>
    </w:p>
    <w:p>
      <w:pPr>
        <w:spacing w:after="100"/>
      </w:pPr>
      <w:r>
        <w:rPr>
          <w:rFonts w:ascii="Calibri" w:cs="Calibri" w:eastAsia="Calibri" w:hAnsi="Calibri"/>
          <w:b/>
          <w:bCs/>
          <w:sz w:val="21"/>
          <w:szCs w:val="21"/>
        </w:rPr>
        <w:t xml:space="preserve">Kilder: </w:t>
      </w:r>
      <w:hyperlink w:history="1" r:id="rIdpzy0sbyinzlcgazwdnzdl">
        <w:r>
          <w:rPr>
            <w:rStyle w:val="Hyperlink"/>
            <w:rFonts w:ascii="Calibri" w:cs="Calibri" w:eastAsia="Calibri" w:hAnsi="Calibri"/>
            <w:sz w:val="21"/>
            <w:szCs w:val="21"/>
          </w:rPr>
          <w:t xml:space="preserve">personvernforordningen art. 4</w:t>
        </w:r>
      </w:hyperlink>
      <w:r>
        <w:rPr>
          <w:rFonts w:ascii="Calibri" w:cs="Calibri" w:eastAsia="Calibri" w:hAnsi="Calibri"/>
          <w:sz w:val="21"/>
          <w:szCs w:val="21"/>
        </w:rPr>
        <w:t xml:space="preserve">; </w:t>
      </w:r>
      <w:hyperlink w:history="1" r:id="rIdsy8mvaiac7uzmhj2aqf7o">
        <w:r>
          <w:rPr>
            <w:rStyle w:val="Hyperlink"/>
            <w:rFonts w:ascii="Calibri" w:cs="Calibri" w:eastAsia="Calibri" w:hAnsi="Calibri"/>
            <w:sz w:val="21"/>
            <w:szCs w:val="21"/>
          </w:rPr>
          <w:t xml:space="preserve">personvernforordningen art. 28</w:t>
        </w:r>
      </w:hyperlink>
      <w:r>
        <w:rPr>
          <w:rFonts w:ascii="Calibri" w:cs="Calibri" w:eastAsia="Calibri" w:hAnsi="Calibri"/>
          <w:sz w:val="21"/>
          <w:szCs w:val="21"/>
        </w:rPr>
        <w:t xml:space="preserve">; </w:t>
      </w:r>
      <w:hyperlink w:history="1" r:id="rIdr1qzok0svsqftcv_5cy2k">
        <w:r>
          <w:rPr>
            <w:rStyle w:val="Hyperlink"/>
            <w:rFonts w:ascii="Calibri" w:cs="Calibri" w:eastAsia="Calibri" w:hAnsi="Calibri"/>
            <w:sz w:val="21"/>
            <w:szCs w:val="21"/>
          </w:rPr>
          <w:t xml:space="preserve">DFØ: Veileder om rettigheter til data i SSA-ene</w:t>
        </w:r>
      </w:hyperlink>
    </w:p>
    <w:p>
      <w:pPr>
        <w:spacing w:after="40"/>
      </w:pPr>
      <w:r>
        <w:rPr>
          <w:rFonts w:ascii="Calibri" w:cs="Calibri" w:eastAsia="Calibri" w:hAnsi="Calibri"/>
          <w:b/>
          <w:bCs/>
          <w:sz w:val="21"/>
          <w:szCs w:val="21"/>
        </w:rPr>
        <w:t xml:space="preserve">Momenter</w:t>
      </w:r>
    </w:p>
    <w:p>
      <w:pPr>
        <w:pStyle w:val="ListParagraph"/>
        <w:numPr>
          <w:ilvl w:val="0"/>
          <w:numId w:val="2"/>
        </w:numPr>
        <w:spacing w:after="60"/>
      </w:pPr>
      <w:r>
        <w:rPr>
          <w:rFonts w:ascii="Calibri" w:cs="Calibri" w:eastAsia="Calibri" w:hAnsi="Calibri"/>
          <w:sz w:val="21"/>
          <w:szCs w:val="21"/>
        </w:rPr>
        <w:t xml:space="preserve">Om anonymiseringen skjer etter instruks i databehandleravtalen eller på eget grunnlag, er ikke regulert i 7.2.</w:t>
      </w:r>
    </w:p>
    <w:p>
      <w:pPr>
        <w:pStyle w:val="ListParagraph"/>
        <w:numPr>
          <w:ilvl w:val="0"/>
          <w:numId w:val="2"/>
        </w:numPr>
        <w:spacing w:after="60"/>
      </w:pPr>
      <w:r>
        <w:rPr>
          <w:rFonts w:ascii="Calibri" w:cs="Calibri" w:eastAsia="Calibri" w:hAnsi="Calibri"/>
          <w:sz w:val="21"/>
          <w:szCs w:val="21"/>
        </w:rPr>
        <w:t xml:space="preserve">Ordlyden sier ikke om dataene skal være anonymisert bare med hensyn til personer, eller også med hensyn til Kunden; veilederen peker på at bruksdata kan avsløre Kundens økonomiske forhold og strategiske valg.</w:t>
      </w:r>
    </w:p>
    <w:p>
      <w:pPr>
        <w:pStyle w:val="ListParagraph"/>
        <w:numPr>
          <w:ilvl w:val="0"/>
          <w:numId w:val="2"/>
        </w:numPr>
        <w:spacing w:after="60"/>
      </w:pPr>
      <w:r>
        <w:rPr>
          <w:rFonts w:ascii="Calibri" w:cs="Calibri" w:eastAsia="Calibri" w:hAnsi="Calibri"/>
          <w:sz w:val="21"/>
          <w:szCs w:val="21"/>
        </w:rPr>
        <w:t xml:space="preserve">Retten avhenger av hva Kunden skriver i bilag 1.</w:t>
      </w:r>
    </w:p>
    <w:p>
      <w:pPr>
        <w:spacing w:after="160"/>
      </w:pPr>
      <w:r>
        <w:rPr>
          <w:rFonts w:ascii="Calibri" w:cs="Calibri" w:eastAsia="Calibri" w:hAnsi="Calibri"/>
          <w:b/>
          <w:bCs/>
          <w:sz w:val="21"/>
          <w:szCs w:val="21"/>
        </w:rPr>
        <w:t xml:space="preserve">Vurdering: </w:t>
      </w:r>
      <w:r>
        <w:rPr>
          <w:rFonts w:ascii="Calibri" w:cs="Calibri" w:eastAsia="Calibri" w:hAnsi="Calibri"/>
          <w:sz w:val="21"/>
          <w:szCs w:val="21"/>
        </w:rPr>
        <w:t xml:space="preserve">Middels betydning. Sikkerhet: Middels. </w:t>
      </w:r>
      <w:r>
        <w:rPr>
          <w:rFonts w:ascii="Calibri" w:cs="Calibri" w:eastAsia="Calibri" w:hAnsi="Calibri"/>
          <w:b/>
          <w:bCs/>
          <w:sz w:val="21"/>
          <w:szCs w:val="21"/>
        </w:rPr>
        <w:t xml:space="preserve">Kan bli: </w:t>
      </w:r>
      <w:r>
        <w:rPr>
          <w:rFonts w:ascii="Calibri" w:cs="Calibri" w:eastAsia="Calibri" w:hAnsi="Calibri"/>
          <w:sz w:val="21"/>
          <w:szCs w:val="21"/>
        </w:rPr>
        <w:t xml:space="preserve">Lav dersom dataene som brukes, er aggregerte uten person- og kundereferanser.</w:t>
      </w:r>
    </w:p>
    <w:p>
      <w:pPr>
        <w:pStyle w:val="Heading2"/>
        <w:spacing w:after="100" w:before="240"/>
      </w:pPr>
      <w:r>
        <w:rPr>
          <w:rFonts w:ascii="Calibri" w:cs="Calibri" w:eastAsia="Calibri" w:hAnsi="Calibri"/>
          <w:color w:val="B7791F"/>
        </w:rPr>
        <w:t xml:space="preserve">🟡 M6 – Kunden kan angi andre reguleringer om data i bilag 1</w:t>
      </w:r>
    </w:p>
    <w:p>
      <w:pPr>
        <w:spacing w:after="100"/>
      </w:pPr>
      <w:r>
        <w:rPr>
          <w:rFonts w:ascii="Calibri" w:cs="Calibri" w:eastAsia="Calibri" w:hAnsi="Calibri"/>
          <w:b/>
          <w:bCs/>
          <w:sz w:val="21"/>
          <w:szCs w:val="21"/>
        </w:rPr>
        <w:t xml:space="preserve">Punkt: </w:t>
      </w:r>
      <w:r>
        <w:rPr>
          <w:rFonts w:ascii="Calibri" w:cs="Calibri" w:eastAsia="Calibri" w:hAnsi="Calibri"/>
          <w:sz w:val="21"/>
          <w:szCs w:val="21"/>
        </w:rPr>
        <w:t xml:space="preserve">Punkt 7.2 sjette ledd (nytt) og nytt felt i bilag 1 for punkt 7.2</w:t>
      </w:r>
    </w:p>
    <w:p>
      <w:pPr>
        <w:spacing w:after="100"/>
      </w:pPr>
      <w:r>
        <w:rPr>
          <w:rFonts w:ascii="Calibri" w:cs="Calibri" w:eastAsia="Calibri" w:hAnsi="Calibri"/>
          <w:b/>
          <w:bCs/>
          <w:sz w:val="21"/>
          <w:szCs w:val="21"/>
        </w:rPr>
        <w:t xml:space="preserve">Endring: </w:t>
      </w:r>
      <w:r>
        <w:rPr>
          <w:rFonts w:ascii="Calibri" w:cs="Calibri" w:eastAsia="Calibri" w:hAnsi="Calibri"/>
          <w:sz w:val="21"/>
          <w:szCs w:val="21"/>
        </w:rPr>
        <w:t xml:space="preserve">Nytt: «Andre reguleringer kan angis av Kunden i Bilag 1.» Bilag 1 har fått et nytt felt for punkt 7.2 der Kunden kan angi krav til metoder, standarder, formater, strukturering, systemkompatibilitet, frister for utlevering av kopier, testing av uthenting, Leverandørens rett til å bruke data for andre eller egne formål og håndtering av data ved opphør.</w:t>
      </w:r>
    </w:p>
    <w:p>
      <w:pPr>
        <w:spacing w:after="100"/>
      </w:pPr>
      <w:r>
        <w:rPr>
          <w:rFonts w:ascii="Calibri" w:cs="Calibri" w:eastAsia="Calibri" w:hAnsi="Calibri"/>
          <w:b/>
          <w:bCs/>
          <w:sz w:val="21"/>
          <w:szCs w:val="21"/>
        </w:rPr>
        <w:t xml:space="preserve">Virkning for Leverandøren: </w:t>
      </w:r>
      <w:r>
        <w:rPr>
          <w:rFonts w:ascii="Calibri" w:cs="Calibri" w:eastAsia="Calibri" w:hAnsi="Calibri"/>
          <w:sz w:val="21"/>
          <w:szCs w:val="21"/>
        </w:rPr>
        <w:t xml:space="preserve">Realistisk: Det reelle innholdet i Leverandørens dataforpliktelser vil i stor grad stå i Kundens utfylte bilag 1, som ikke er gjennomgått her. Rangordningen i punkt 1.3: den generelle avtaleteksten går foran bilagene, og bilag 1 går foran de øvrige bilagene. Men der den generelle teksten henviser endringer til et annet bilag enn bilag 7, går slike endringer foran den generelle teksten, forutsatt at det «klart og utvetydig» fremgår hvilket punkt som er endret. 7.2 viser nå til bilag 1 tre steder («Dersom ikke annet fremgår av Bilag 1», «med mindre Kunden har tatt forbehold … i Bilag 1», «Andre reguleringer kan angis av Kunden i Bilag 1»), slik at klart angitte bilag 1-krav under 7.2 kan gå foran 7.2 selv. Bilag 7 kan i tillegg endre ethvert punkt. Bilag 2 går foran bilag 1 bare på samme vilkår om klar angivelse.</w:t>
      </w:r>
    </w:p>
    <w:p>
      <w:pPr>
        <w:spacing w:after="100"/>
      </w:pPr>
      <w:r>
        <w:rPr>
          <w:rFonts w:ascii="Calibri" w:cs="Calibri" w:eastAsia="Calibri" w:hAnsi="Calibri"/>
          <w:b/>
          <w:bCs/>
          <w:sz w:val="21"/>
          <w:szCs w:val="21"/>
        </w:rPr>
        <w:t xml:space="preserve">Allerede dekket av: </w:t>
      </w:r>
      <w:r>
        <w:rPr>
          <w:rFonts w:ascii="Calibri" w:cs="Calibri" w:eastAsia="Calibri" w:hAnsi="Calibri"/>
          <w:sz w:val="21"/>
          <w:szCs w:val="21"/>
        </w:rPr>
        <w:t xml:space="preserve">Punkt 1.3 (rangordning, herunder regelen om henvisning til annet bilag enn bilag 7); bilag 2 (Leverandørens beskrivelse av tjenesten); bilag 7.</w:t>
      </w:r>
    </w:p>
    <w:p>
      <w:pPr>
        <w:spacing w:after="100"/>
      </w:pPr>
      <w:r>
        <w:rPr>
          <w:rFonts w:ascii="Calibri" w:cs="Calibri" w:eastAsia="Calibri" w:hAnsi="Calibri"/>
          <w:b/>
          <w:bCs/>
          <w:sz w:val="21"/>
          <w:szCs w:val="21"/>
        </w:rPr>
        <w:t xml:space="preserve">Motargument: </w:t>
      </w:r>
      <w:r>
        <w:rPr>
          <w:rFonts w:ascii="Calibri" w:cs="Calibri" w:eastAsia="Calibri" w:hAnsi="Calibri"/>
          <w:sz w:val="21"/>
          <w:szCs w:val="21"/>
        </w:rPr>
        <w:t xml:space="preserve">Forrangen forutsetter at bilag 1 «klart og utvetydig» angir hvilket punkt som endres; generelle eller uklare krav i bilag 1 går ikke foran 7.2.</w:t>
      </w:r>
    </w:p>
    <w:p>
      <w:pPr>
        <w:spacing w:after="100"/>
      </w:pPr>
      <w:r>
        <w:rPr>
          <w:rFonts w:ascii="Calibri" w:cs="Calibri" w:eastAsia="Calibri" w:hAnsi="Calibri"/>
          <w:b/>
          <w:bCs/>
          <w:sz w:val="21"/>
          <w:szCs w:val="21"/>
        </w:rPr>
        <w:t xml:space="preserve">Kilder: </w:t>
      </w:r>
      <w:r>
        <w:rPr>
          <w:rFonts w:ascii="Calibri" w:cs="Calibri" w:eastAsia="Calibri" w:hAnsi="Calibri"/>
          <w:sz w:val="21"/>
          <w:szCs w:val="21"/>
        </w:rPr>
        <w:t xml:space="preserve">Avtalevilkår</w:t>
      </w:r>
      <w:r>
        <w:rPr>
          <w:rFonts w:ascii="Calibri" w:cs="Calibri" w:eastAsia="Calibri" w:hAnsi="Calibri"/>
          <w:sz w:val="21"/>
          <w:szCs w:val="21"/>
        </w:rPr>
        <w:t xml:space="preserve">; </w:t>
      </w:r>
      <w:hyperlink w:history="1" r:id="rIdg1tidtjo84s7aa5mp8zxb">
        <w:r>
          <w:rPr>
            <w:rStyle w:val="Hyperlink"/>
            <w:rFonts w:ascii="Calibri" w:cs="Calibri" w:eastAsia="Calibri" w:hAnsi="Calibri"/>
            <w:sz w:val="21"/>
            <w:szCs w:val="21"/>
          </w:rPr>
          <w:t xml:space="preserve">anskaffelsesforskriften § 24-8</w:t>
        </w:r>
      </w:hyperlink>
      <w:r>
        <w:rPr>
          <w:rFonts w:ascii="Calibri" w:cs="Calibri" w:eastAsia="Calibri" w:hAnsi="Calibri"/>
          <w:sz w:val="21"/>
          <w:szCs w:val="21"/>
        </w:rPr>
        <w:t xml:space="preserve">; </w:t>
      </w:r>
      <w:hyperlink w:history="1" r:id="rIdefj0t2ae2kmugiwycolze">
        <w:r>
          <w:rPr>
            <w:rStyle w:val="Hyperlink"/>
            <w:rFonts w:ascii="Calibri" w:cs="Calibri" w:eastAsia="Calibri" w:hAnsi="Calibri"/>
            <w:sz w:val="21"/>
            <w:szCs w:val="21"/>
          </w:rPr>
          <w:t xml:space="preserve">DFØ: Veileder om rettigheter til data i SSA-ene</w:t>
        </w:r>
      </w:hyperlink>
    </w:p>
    <w:p>
      <w:pPr>
        <w:spacing w:after="40"/>
      </w:pPr>
      <w:r>
        <w:rPr>
          <w:rFonts w:ascii="Calibri" w:cs="Calibri" w:eastAsia="Calibri" w:hAnsi="Calibri"/>
          <w:b/>
          <w:bCs/>
          <w:sz w:val="21"/>
          <w:szCs w:val="21"/>
        </w:rPr>
        <w:t xml:space="preserve">Momenter</w:t>
      </w:r>
    </w:p>
    <w:p>
      <w:pPr>
        <w:pStyle w:val="ListParagraph"/>
        <w:numPr>
          <w:ilvl w:val="0"/>
          <w:numId w:val="2"/>
        </w:numPr>
        <w:spacing w:after="60"/>
      </w:pPr>
      <w:r>
        <w:rPr>
          <w:rFonts w:ascii="Calibri" w:cs="Calibri" w:eastAsia="Calibri" w:hAnsi="Calibri"/>
          <w:sz w:val="21"/>
          <w:szCs w:val="21"/>
        </w:rPr>
        <w:t xml:space="preserve">Kundens utfylte bilag 1 er ikke gjennomgått; vurderingen bygger på malen.</w:t>
      </w:r>
    </w:p>
    <w:p>
      <w:pPr>
        <w:pStyle w:val="ListParagraph"/>
        <w:numPr>
          <w:ilvl w:val="0"/>
          <w:numId w:val="2"/>
        </w:numPr>
        <w:spacing w:after="60"/>
      </w:pPr>
      <w:r>
        <w:rPr>
          <w:rFonts w:ascii="Calibri" w:cs="Calibri" w:eastAsia="Calibri" w:hAnsi="Calibri"/>
          <w:sz w:val="21"/>
          <w:szCs w:val="21"/>
        </w:rPr>
        <w:t xml:space="preserve">I en konkurranse kan forbehold mot krav i bilag 1 føre til avvisning etter anskaffelsesforskriften § 24-8; § 24-8 står i forskriftens del III og pålegger avvisning bare ved vesentlige avvik; ved andre avvik er avvisning valgfri. Leverandørens adgang til å beskrive avvik går gjennom bilag 2 og rangordningen i punkt 1.3.</w:t>
      </w:r>
    </w:p>
    <w:p>
      <w:pPr>
        <w:spacing w:after="160"/>
      </w:pPr>
      <w:r>
        <w:rPr>
          <w:rFonts w:ascii="Calibri" w:cs="Calibri" w:eastAsia="Calibri" w:hAnsi="Calibri"/>
          <w:b/>
          <w:bCs/>
          <w:sz w:val="21"/>
          <w:szCs w:val="21"/>
        </w:rPr>
        <w:t xml:space="preserve">Vurdering: </w:t>
      </w:r>
      <w:r>
        <w:rPr>
          <w:rFonts w:ascii="Calibri" w:cs="Calibri" w:eastAsia="Calibri" w:hAnsi="Calibri"/>
          <w:sz w:val="21"/>
          <w:szCs w:val="21"/>
        </w:rPr>
        <w:t xml:space="preserve">Middels betydning. Sikkerhet: Høy. </w:t>
      </w:r>
      <w:r>
        <w:rPr>
          <w:rFonts w:ascii="Calibri" w:cs="Calibri" w:eastAsia="Calibri" w:hAnsi="Calibri"/>
          <w:b/>
          <w:bCs/>
          <w:sz w:val="21"/>
          <w:szCs w:val="21"/>
        </w:rPr>
        <w:t xml:space="preserve">Kan bli: </w:t>
      </w:r>
      <w:r>
        <w:rPr>
          <w:rFonts w:ascii="Calibri" w:cs="Calibri" w:eastAsia="Calibri" w:hAnsi="Calibri"/>
          <w:sz w:val="21"/>
          <w:szCs w:val="21"/>
        </w:rPr>
        <w:t xml:space="preserve">Høy eller lav avhengig av innholdet i Kundens utfylte bilag 1.</w:t>
      </w:r>
    </w:p>
    <w:p>
      <w:pPr>
        <w:pStyle w:val="Heading1"/>
        <w:spacing w:after="120" w:before="300"/>
      </w:pPr>
      <w:r>
        <w:rPr>
          <w:rFonts w:ascii="Calibri" w:cs="Calibri" w:eastAsia="Calibri" w:hAnsi="Calibri"/>
        </w:rPr>
        <w:t xml:space="preserve">🟢 Lav betydning</w:t>
      </w:r>
    </w:p>
    <w:p>
      <w:pPr>
        <w:pStyle w:val="Heading2"/>
        <w:spacing w:after="100" w:before="240"/>
      </w:pPr>
      <w:r>
        <w:rPr>
          <w:rFonts w:ascii="Calibri" w:cs="Calibri" w:eastAsia="Calibri" w:hAnsi="Calibri"/>
          <w:color w:val="2F855A"/>
        </w:rPr>
        <w:t xml:space="preserve">🟢 L1 – Leverandøren har «tilgang og bruksrett» i nødvendig utstrekning</w:t>
      </w:r>
    </w:p>
    <w:p>
      <w:pPr>
        <w:spacing w:after="100"/>
      </w:pPr>
      <w:r>
        <w:rPr>
          <w:rFonts w:ascii="Calibri" w:cs="Calibri" w:eastAsia="Calibri" w:hAnsi="Calibri"/>
          <w:b/>
          <w:bCs/>
          <w:sz w:val="21"/>
          <w:szCs w:val="21"/>
        </w:rPr>
        <w:t xml:space="preserve">Punkt: </w:t>
      </w:r>
      <w:r>
        <w:rPr>
          <w:rFonts w:ascii="Calibri" w:cs="Calibri" w:eastAsia="Calibri" w:hAnsi="Calibri"/>
          <w:sz w:val="21"/>
          <w:szCs w:val="21"/>
        </w:rPr>
        <w:t xml:space="preserve">Punkt 7.2 annet ledd første punktum</w:t>
      </w:r>
    </w:p>
    <w:p>
      <w:pPr>
        <w:spacing w:after="100"/>
      </w:pPr>
      <w:r>
        <w:rPr>
          <w:rFonts w:ascii="Calibri" w:cs="Calibri" w:eastAsia="Calibri" w:hAnsi="Calibri"/>
          <w:b/>
          <w:bCs/>
          <w:sz w:val="21"/>
          <w:szCs w:val="21"/>
        </w:rPr>
        <w:t xml:space="preserve">Endring: </w:t>
      </w:r>
      <w:r>
        <w:rPr>
          <w:rFonts w:ascii="Calibri" w:cs="Calibri" w:eastAsia="Calibri" w:hAnsi="Calibri"/>
          <w:sz w:val="21"/>
          <w:szCs w:val="21"/>
        </w:rPr>
        <w:t xml:space="preserve">2018: Leverandøren har tilgang til data «utelukkende» i den utstrekning som er nødvendig. 2026: Leverandøren skal ha «tilgang og bruksrett» i den utstrekning som er nødvendig.</w:t>
      </w:r>
    </w:p>
    <w:p>
      <w:pPr>
        <w:spacing w:after="100"/>
      </w:pPr>
      <w:r>
        <w:rPr>
          <w:rFonts w:ascii="Calibri" w:cs="Calibri" w:eastAsia="Calibri" w:hAnsi="Calibri"/>
          <w:b/>
          <w:bCs/>
          <w:sz w:val="21"/>
          <w:szCs w:val="21"/>
        </w:rPr>
        <w:t xml:space="preserve">Begrunnelse: </w:t>
      </w:r>
      <w:r>
        <w:rPr>
          <w:rFonts w:ascii="Calibri" w:cs="Calibri" w:eastAsia="Calibri" w:hAnsi="Calibri"/>
          <w:sz w:val="21"/>
          <w:szCs w:val="21"/>
        </w:rPr>
        <w:t xml:space="preserve">Presiserer at Leverandøren også har bruksrett for å oppfylle avtalen; gunstig uten nye vilkår.</w:t>
      </w:r>
    </w:p>
    <w:p>
      <w:pPr>
        <w:pStyle w:val="Heading2"/>
        <w:spacing w:after="100" w:before="240"/>
      </w:pPr>
      <w:r>
        <w:rPr>
          <w:rFonts w:ascii="Calibri" w:cs="Calibri" w:eastAsia="Calibri" w:hAnsi="Calibri"/>
          <w:color w:val="2F855A"/>
        </w:rPr>
        <w:t xml:space="preserve">🟢 L2 – Bruk av data fra etableringen (testresultater, feillogger mv.)</w:t>
      </w:r>
    </w:p>
    <w:p>
      <w:pPr>
        <w:spacing w:after="100"/>
      </w:pPr>
      <w:r>
        <w:rPr>
          <w:rFonts w:ascii="Calibri" w:cs="Calibri" w:eastAsia="Calibri" w:hAnsi="Calibri"/>
          <w:b/>
          <w:bCs/>
          <w:sz w:val="21"/>
          <w:szCs w:val="21"/>
        </w:rPr>
        <w:t xml:space="preserve">Punkt: </w:t>
      </w:r>
      <w:r>
        <w:rPr>
          <w:rFonts w:ascii="Calibri" w:cs="Calibri" w:eastAsia="Calibri" w:hAnsi="Calibri"/>
          <w:sz w:val="21"/>
          <w:szCs w:val="21"/>
        </w:rPr>
        <w:t xml:space="preserve">Punkt 7.2 femte ledd annet og tredje punktum (nytt)</w:t>
      </w:r>
    </w:p>
    <w:p>
      <w:pPr>
        <w:spacing w:after="100"/>
      </w:pPr>
      <w:r>
        <w:rPr>
          <w:rFonts w:ascii="Calibri" w:cs="Calibri" w:eastAsia="Calibri" w:hAnsi="Calibri"/>
          <w:b/>
          <w:bCs/>
          <w:sz w:val="21"/>
          <w:szCs w:val="21"/>
        </w:rPr>
        <w:t xml:space="preserve">Endring: </w:t>
      </w:r>
      <w:r>
        <w:rPr>
          <w:rFonts w:ascii="Calibri" w:cs="Calibri" w:eastAsia="Calibri" w:hAnsi="Calibri"/>
          <w:sz w:val="21"/>
          <w:szCs w:val="21"/>
        </w:rPr>
        <w:t xml:space="preserve">Nytt: Leverandøren kan bruke innsamlede eller genererte data knyttet til etablering til å forbedre tjenestene, for eksempel testresultater, feillogger, estimeringsdata, utviklingsinnsikt og prosjektrapporter, forutsatt at dette ikke er knyttet til Kundens virksomhetsdata, sikkerhetsmessige aspekter, taushetsbelagte forhold eller begrensninger i lov og forskrift.</w:t>
      </w:r>
    </w:p>
    <w:p>
      <w:pPr>
        <w:spacing w:after="100"/>
      </w:pPr>
      <w:r>
        <w:rPr>
          <w:rFonts w:ascii="Calibri" w:cs="Calibri" w:eastAsia="Calibri" w:hAnsi="Calibri"/>
          <w:b/>
          <w:bCs/>
          <w:sz w:val="21"/>
          <w:szCs w:val="21"/>
        </w:rPr>
        <w:t xml:space="preserve">Begrunnelse: </w:t>
      </w:r>
      <w:r>
        <w:rPr>
          <w:rFonts w:ascii="Calibri" w:cs="Calibri" w:eastAsia="Calibri" w:hAnsi="Calibri"/>
          <w:sz w:val="21"/>
          <w:szCs w:val="21"/>
        </w:rPr>
        <w:t xml:space="preserve">Gunstig; vilkårene bygger på taushetsplikten i punkt 11 og lov, men går noe lenger («Kundens virksomhetsdata», «sikkerhetsmessige aspekter»), og feillogger vil ofte inneholde virksomhetsdata, slik at retten er snevrere enn den ser ut. Middels dersom etableringen omfatter testing på produksjonsdata med personopplysninger – da forutsetter veilederen et eget behandlingsgrunnlag etter personvernforordningen.</w:t>
      </w:r>
    </w:p>
    <w:p>
      <w:pPr>
        <w:pStyle w:val="Heading2"/>
        <w:spacing w:after="100" w:before="240"/>
      </w:pPr>
      <w:r>
        <w:rPr>
          <w:rFonts w:ascii="Calibri" w:cs="Calibri" w:eastAsia="Calibri" w:hAnsi="Calibri"/>
          <w:color w:val="2F855A"/>
        </w:rPr>
        <w:t xml:space="preserve">🟢 L3 – Overskrift og terminologi: «Eiendomsrett til data» blir «rettigheter til data»</w:t>
      </w:r>
    </w:p>
    <w:p>
      <w:pPr>
        <w:spacing w:after="100"/>
      </w:pPr>
      <w:r>
        <w:rPr>
          <w:rFonts w:ascii="Calibri" w:cs="Calibri" w:eastAsia="Calibri" w:hAnsi="Calibri"/>
          <w:b/>
          <w:bCs/>
          <w:sz w:val="21"/>
          <w:szCs w:val="21"/>
        </w:rPr>
        <w:t xml:space="preserve">Punkt: </w:t>
      </w:r>
      <w:r>
        <w:rPr>
          <w:rFonts w:ascii="Calibri" w:cs="Calibri" w:eastAsia="Calibri" w:hAnsi="Calibri"/>
          <w:sz w:val="21"/>
          <w:szCs w:val="21"/>
        </w:rPr>
        <w:t xml:space="preserve">Punkt 7.2 overskrift og innholdsfortegnelsen</w:t>
      </w:r>
    </w:p>
    <w:p>
      <w:pPr>
        <w:spacing w:after="100"/>
      </w:pPr>
      <w:r>
        <w:rPr>
          <w:rFonts w:ascii="Calibri" w:cs="Calibri" w:eastAsia="Calibri" w:hAnsi="Calibri"/>
          <w:b/>
          <w:bCs/>
          <w:sz w:val="21"/>
          <w:szCs w:val="21"/>
        </w:rPr>
        <w:t xml:space="preserve">Endring: </w:t>
      </w:r>
      <w:r>
        <w:rPr>
          <w:rFonts w:ascii="Calibri" w:cs="Calibri" w:eastAsia="Calibri" w:hAnsi="Calibri"/>
          <w:sz w:val="21"/>
          <w:szCs w:val="21"/>
        </w:rPr>
        <w:t xml:space="preserve">Overskriften endret fra «Eiendomsrett til data» til «rettigheter til data» (med liten forbokstav i hoveddokumentet; bilag 1 bruker «Rettigheter til data»). Teksten veksler også mellom «avtalens» og «Avtalens» i samme ledd.</w:t>
      </w:r>
    </w:p>
    <w:p>
      <w:pPr>
        <w:spacing w:after="100"/>
      </w:pPr>
      <w:r>
        <w:rPr>
          <w:rFonts w:ascii="Calibri" w:cs="Calibri" w:eastAsia="Calibri" w:hAnsi="Calibri"/>
          <w:b/>
          <w:bCs/>
          <w:sz w:val="21"/>
          <w:szCs w:val="21"/>
        </w:rPr>
        <w:t xml:space="preserve">Begrunnelse: </w:t>
      </w:r>
      <w:r>
        <w:rPr>
          <w:rFonts w:ascii="Calibri" w:cs="Calibri" w:eastAsia="Calibri" w:hAnsi="Calibri"/>
          <w:sz w:val="21"/>
          <w:szCs w:val="21"/>
        </w:rPr>
        <w:t xml:space="preserve">Redaksjonell; i samsvar med veilederens utgangspunkt om at ingen eier data som sådan. Det materielle innholdet er behandlet i M1.</w:t>
      </w:r>
    </w:p>
    <w:p>
      <w:pPr>
        <w:pStyle w:val="Heading2"/>
        <w:spacing w:after="100" w:before="240"/>
      </w:pPr>
      <w:r>
        <w:rPr>
          <w:rFonts w:ascii="Calibri" w:cs="Calibri" w:eastAsia="Calibri" w:hAnsi="Calibri"/>
          <w:color w:val="2F855A"/>
        </w:rPr>
        <w:t xml:space="preserve">🟢 L4 – Bunnteksten nevner fortsatt «2018»</w:t>
      </w:r>
    </w:p>
    <w:p>
      <w:pPr>
        <w:spacing w:after="100"/>
      </w:pPr>
      <w:r>
        <w:rPr>
          <w:rFonts w:ascii="Calibri" w:cs="Calibri" w:eastAsia="Calibri" w:hAnsi="Calibri"/>
          <w:b/>
          <w:bCs/>
          <w:sz w:val="21"/>
          <w:szCs w:val="21"/>
        </w:rPr>
        <w:t xml:space="preserve">Punkt: </w:t>
      </w:r>
      <w:r>
        <w:rPr>
          <w:rFonts w:ascii="Calibri" w:cs="Calibri" w:eastAsia="Calibri" w:hAnsi="Calibri"/>
          <w:sz w:val="21"/>
          <w:szCs w:val="21"/>
        </w:rPr>
        <w:t xml:space="preserve">Bunntekst, generell avtaletekst</w:t>
      </w:r>
    </w:p>
    <w:p>
      <w:pPr>
        <w:spacing w:after="100"/>
      </w:pPr>
      <w:r>
        <w:rPr>
          <w:rFonts w:ascii="Calibri" w:cs="Calibri" w:eastAsia="Calibri" w:hAnsi="Calibri"/>
          <w:b/>
          <w:bCs/>
          <w:sz w:val="21"/>
          <w:szCs w:val="21"/>
        </w:rPr>
        <w:t xml:space="preserve">Endring: </w:t>
      </w:r>
      <w:r>
        <w:rPr>
          <w:rFonts w:ascii="Calibri" w:cs="Calibri" w:eastAsia="Calibri" w:hAnsi="Calibri"/>
          <w:sz w:val="21"/>
          <w:szCs w:val="21"/>
        </w:rPr>
        <w:t xml:space="preserve">Bunnteksten i 2026-versjonen lyder fortsatt «SSA-L Generell avtaletekst 2018 (bokmål). Oppdatert 2026.» / «Sist oppdatert 2026.», mens forsiden sier «SSA-L-2026». Topptekst med «SSA-L 2018» er fjernet.</w:t>
      </w:r>
    </w:p>
    <w:p>
      <w:pPr>
        <w:spacing w:after="100"/>
      </w:pPr>
      <w:r>
        <w:rPr>
          <w:rFonts w:ascii="Calibri" w:cs="Calibri" w:eastAsia="Calibri" w:hAnsi="Calibri"/>
          <w:b/>
          <w:bCs/>
          <w:sz w:val="21"/>
          <w:szCs w:val="21"/>
        </w:rPr>
        <w:t xml:space="preserve">Begrunnelse: </w:t>
      </w:r>
      <w:r>
        <w:rPr>
          <w:rFonts w:ascii="Calibri" w:cs="Calibri" w:eastAsia="Calibri" w:hAnsi="Calibri"/>
          <w:sz w:val="21"/>
          <w:szCs w:val="21"/>
        </w:rPr>
        <w:t xml:space="preserve">Redaksjonell; kan skape tvil om hvilken versjon som er signert dersom versjonen ikke fremgår av signaturside eller forside.</w:t>
      </w:r>
    </w:p>
    <w:p>
      <w:pPr>
        <w:pStyle w:val="Heading2"/>
        <w:spacing w:after="100" w:before="240"/>
      </w:pPr>
      <w:r>
        <w:rPr>
          <w:rFonts w:ascii="Calibri" w:cs="Calibri" w:eastAsia="Calibri" w:hAnsi="Calibri"/>
          <w:color w:val="2F855A"/>
        </w:rPr>
        <w:t xml:space="preserve">🟢 L5 – Redaksjonelle endringer i bilagene og innholdsfortegnelser</w:t>
      </w:r>
    </w:p>
    <w:p>
      <w:pPr>
        <w:spacing w:after="100"/>
      </w:pPr>
      <w:r>
        <w:rPr>
          <w:rFonts w:ascii="Calibri" w:cs="Calibri" w:eastAsia="Calibri" w:hAnsi="Calibri"/>
          <w:b/>
          <w:bCs/>
          <w:sz w:val="21"/>
          <w:szCs w:val="21"/>
        </w:rPr>
        <w:t xml:space="preserve">Punkt: </w:t>
      </w:r>
      <w:r>
        <w:rPr>
          <w:rFonts w:ascii="Calibri" w:cs="Calibri" w:eastAsia="Calibri" w:hAnsi="Calibri"/>
          <w:sz w:val="21"/>
          <w:szCs w:val="21"/>
        </w:rPr>
        <w:t xml:space="preserve">Bilag – forside, innledning, innholdsfortegnelse</w:t>
      </w:r>
    </w:p>
    <w:p>
      <w:pPr>
        <w:spacing w:after="100"/>
      </w:pPr>
      <w:r>
        <w:rPr>
          <w:rFonts w:ascii="Calibri" w:cs="Calibri" w:eastAsia="Calibri" w:hAnsi="Calibri"/>
          <w:b/>
          <w:bCs/>
          <w:sz w:val="21"/>
          <w:szCs w:val="21"/>
        </w:rPr>
        <w:t xml:space="preserve">Endring: </w:t>
      </w:r>
      <w:r>
        <w:rPr>
          <w:rFonts w:ascii="Calibri" w:cs="Calibri" w:eastAsia="Calibri" w:hAnsi="Calibri"/>
          <w:sz w:val="21"/>
          <w:szCs w:val="21"/>
        </w:rPr>
        <w:t xml:space="preserve">Versjonsangivelser endret fra 2018 til 2026; kontaktadressen endret fra ssa-post@difi.no til ssa-post@dfo.no; sidetall i innholdsfortegnelsene forskjøvet; en løs linje «12» i innholdsfortegnelsen i bilagene.</w:t>
      </w:r>
    </w:p>
    <w:p>
      <w:pPr>
        <w:spacing w:after="100"/>
      </w:pPr>
      <w:r>
        <w:rPr>
          <w:rFonts w:ascii="Calibri" w:cs="Calibri" w:eastAsia="Calibri" w:hAnsi="Calibri"/>
          <w:b/>
          <w:bCs/>
          <w:sz w:val="21"/>
          <w:szCs w:val="21"/>
        </w:rPr>
        <w:t xml:space="preserve">Begrunnelse: </w:t>
      </w:r>
      <w:r>
        <w:rPr>
          <w:rFonts w:ascii="Calibri" w:cs="Calibri" w:eastAsia="Calibri" w:hAnsi="Calibri"/>
          <w:sz w:val="21"/>
          <w:szCs w:val="21"/>
        </w:rPr>
        <w:t xml:space="preserve">Redaksjonelt, ingen rettslig betydning.</w:t>
      </w:r>
    </w:p>
    <w:p>
      <w:pPr>
        <w:pStyle w:val="Heading1"/>
        <w:spacing w:after="120" w:before="300"/>
      </w:pPr>
      <w:r>
        <w:rPr>
          <w:rFonts w:ascii="Calibri" w:cs="Calibri" w:eastAsia="Calibri" w:hAnsi="Calibri"/>
        </w:rPr>
        <w:t xml:space="preserve">Det som ikke er endret</w:t>
      </w:r>
    </w:p>
    <w:p>
      <w:pPr>
        <w:spacing w:after="100"/>
      </w:pPr>
      <w:r>
        <w:rPr>
          <w:rFonts w:ascii="Calibri" w:cs="Calibri" w:eastAsia="Calibri" w:hAnsi="Calibri"/>
          <w:sz w:val="21"/>
          <w:szCs w:val="21"/>
        </w:rPr>
        <w:t xml:space="preserve">Bortsett fra punkt 7.2, innholdsfortegnelsens sidetall og bunn-/topptekster er den generelle avtaleteksten identisk ord for ord med 2018-versjonen. Det gjelder blant annet punkt 1.3 (rangordning), 2 (Leverandørens ytelse), 4 (vederlag), 5 (varighet, avbestilling, avslutning og midlertidig forlengelse), 6 (informasjonssikkerhet og personvern, herunder databehandleravtalens forrang), 7.1 (partenes rettigheter), 8 (rekonstruksjon av data), 9 (mislighold, erstatning og erstatningsbegrensning), 10 (force majeure), 11 (øvrige bestemmelser, herunder taushetsplikt) og 12 (tvister). Fjerde ledd i 7.2 (ingen tilbakeholdsrett i Kundens data) er også uendret. I bilagene er alt unntatt det nye feltet for punkt 7.2 i bilag 1 og redaksjonelle endringer (L5) uendret.</w:t>
      </w:r>
    </w:p>
    <w:p>
      <w:pPr>
        <w:pStyle w:val="Heading1"/>
        <w:spacing w:after="120" w:before="300"/>
      </w:pPr>
      <w:r>
        <w:rPr>
          <w:rFonts w:ascii="Calibri" w:cs="Calibri" w:eastAsia="Calibri" w:hAnsi="Calibri"/>
        </w:rPr>
        <w:t xml:space="preserve">Rettskilder kontrollert</w:t>
      </w:r>
    </w:p>
    <w:tbl>
      <w:tblPr>
        <w:tblW w:type="dxa" w:w="9100"/>
        <w:tblBorders>
          <w:top w:val="single" w:color="auto" w:sz="4"/>
          <w:left w:val="single" w:color="auto" w:sz="4"/>
          <w:bottom w:val="single" w:color="auto" w:sz="4"/>
          <w:right w:val="single" w:color="auto" w:sz="4"/>
          <w:insideH w:val="single" w:color="auto" w:sz="4"/>
          <w:insideV w:val="single" w:color="auto" w:sz="4"/>
        </w:tblBorders>
      </w:tblPr>
      <w:tblGrid>
        <w:gridCol w:w="2300"/>
        <w:gridCol w:w="2500"/>
        <w:gridCol w:w="1700"/>
        <w:gridCol w:w="1300"/>
        <w:gridCol w:w="1300"/>
      </w:tblGrid>
      <w:tr>
        <w:trPr>
          <w:tblHeader/>
        </w:trPr>
        <w:tc>
          <w:tcPr>
            <w:tcW w:type="dxa" w:w="2300"/>
            <w:tcBorders>
              <w:top w:val="single" w:color="BFBFBF" w:sz="4"/>
              <w:left w:val="single" w:color="BFBFBF" w:sz="4"/>
              <w:bottom w:val="single" w:color="BFBFBF" w:sz="4"/>
              <w:right w:val="single" w:color="BFBFBF" w:sz="4"/>
            </w:tcBorders>
            <w:shd w:fill="E8EEF4" w:color="auto" w:val="clear"/>
            <w:tcMar>
              <w:top w:type="dxa" w:w="60"/>
              <w:left w:type="dxa" w:w="90"/>
              <w:bottom w:type="dxa" w:w="60"/>
              <w:right w:type="dxa" w:w="90"/>
            </w:tcMar>
          </w:tcPr>
          <w:p>
            <w:r>
              <w:rPr>
                <w:rFonts w:ascii="Calibri" w:cs="Calibri" w:eastAsia="Calibri" w:hAnsi="Calibri"/>
                <w:b/>
                <w:bCs/>
                <w:sz w:val="17"/>
                <w:szCs w:val="17"/>
              </w:rPr>
              <w:t xml:space="preserve">Kilde</w:t>
            </w:r>
          </w:p>
        </w:tc>
        <w:tc>
          <w:tcPr>
            <w:tcW w:type="dxa" w:w="2500"/>
            <w:tcBorders>
              <w:top w:val="single" w:color="BFBFBF" w:sz="4"/>
              <w:left w:val="single" w:color="BFBFBF" w:sz="4"/>
              <w:bottom w:val="single" w:color="BFBFBF" w:sz="4"/>
              <w:right w:val="single" w:color="BFBFBF" w:sz="4"/>
            </w:tcBorders>
            <w:shd w:fill="E8EEF4" w:color="auto" w:val="clear"/>
            <w:tcMar>
              <w:top w:type="dxa" w:w="60"/>
              <w:left w:type="dxa" w:w="90"/>
              <w:bottom w:type="dxa" w:w="60"/>
              <w:right w:type="dxa" w:w="90"/>
            </w:tcMar>
          </w:tcPr>
          <w:p>
            <w:r>
              <w:rPr>
                <w:rFonts w:ascii="Calibri" w:cs="Calibri" w:eastAsia="Calibri" w:hAnsi="Calibri"/>
                <w:b/>
                <w:bCs/>
                <w:sz w:val="17"/>
                <w:szCs w:val="17"/>
              </w:rPr>
              <w:t xml:space="preserve">Hvorfor relevant</w:t>
            </w:r>
          </w:p>
        </w:tc>
        <w:tc>
          <w:tcPr>
            <w:tcW w:type="dxa" w:w="1700"/>
            <w:tcBorders>
              <w:top w:val="single" w:color="BFBFBF" w:sz="4"/>
              <w:left w:val="single" w:color="BFBFBF" w:sz="4"/>
              <w:bottom w:val="single" w:color="BFBFBF" w:sz="4"/>
              <w:right w:val="single" w:color="BFBFBF" w:sz="4"/>
            </w:tcBorders>
            <w:shd w:fill="E8EEF4" w:color="auto" w:val="clear"/>
            <w:tcMar>
              <w:top w:type="dxa" w:w="60"/>
              <w:left w:type="dxa" w:w="90"/>
              <w:bottom w:type="dxa" w:w="60"/>
              <w:right w:type="dxa" w:w="90"/>
            </w:tcMar>
          </w:tcPr>
          <w:p>
            <w:r>
              <w:rPr>
                <w:rFonts w:ascii="Calibri" w:cs="Calibri" w:eastAsia="Calibri" w:hAnsi="Calibri"/>
                <w:b/>
                <w:bCs/>
                <w:sz w:val="17"/>
                <w:szCs w:val="17"/>
              </w:rPr>
              <w:t xml:space="preserve">Status</w:t>
            </w:r>
          </w:p>
        </w:tc>
        <w:tc>
          <w:tcPr>
            <w:tcW w:type="dxa" w:w="1300"/>
            <w:tcBorders>
              <w:top w:val="single" w:color="BFBFBF" w:sz="4"/>
              <w:left w:val="single" w:color="BFBFBF" w:sz="4"/>
              <w:bottom w:val="single" w:color="BFBFBF" w:sz="4"/>
              <w:right w:val="single" w:color="BFBFBF" w:sz="4"/>
            </w:tcBorders>
            <w:shd w:fill="E8EEF4" w:color="auto" w:val="clear"/>
            <w:tcMar>
              <w:top w:type="dxa" w:w="60"/>
              <w:left w:type="dxa" w:w="90"/>
              <w:bottom w:type="dxa" w:w="60"/>
              <w:right w:type="dxa" w:w="90"/>
            </w:tcMar>
          </w:tcPr>
          <w:p>
            <w:r>
              <w:rPr>
                <w:rFonts w:ascii="Calibri" w:cs="Calibri" w:eastAsia="Calibri" w:hAnsi="Calibri"/>
                <w:b/>
                <w:bCs/>
                <w:sz w:val="17"/>
                <w:szCs w:val="17"/>
              </w:rPr>
              <w:t xml:space="preserve">Dekning i Lovkart</w:t>
            </w:r>
          </w:p>
        </w:tc>
        <w:tc>
          <w:tcPr>
            <w:tcW w:type="dxa" w:w="1300"/>
            <w:tcBorders>
              <w:top w:val="single" w:color="BFBFBF" w:sz="4"/>
              <w:left w:val="single" w:color="BFBFBF" w:sz="4"/>
              <w:bottom w:val="single" w:color="BFBFBF" w:sz="4"/>
              <w:right w:val="single" w:color="BFBFBF" w:sz="4"/>
            </w:tcBorders>
            <w:shd w:fill="E8EEF4" w:color="auto" w:val="clear"/>
            <w:tcMar>
              <w:top w:type="dxa" w:w="60"/>
              <w:left w:type="dxa" w:w="90"/>
              <w:bottom w:type="dxa" w:w="60"/>
              <w:right w:type="dxa" w:w="90"/>
            </w:tcMar>
          </w:tcPr>
          <w:p>
            <w:r>
              <w:rPr>
                <w:rFonts w:ascii="Calibri" w:cs="Calibri" w:eastAsia="Calibri" w:hAnsi="Calibri"/>
                <w:b/>
                <w:bCs/>
                <w:sz w:val="17"/>
                <w:szCs w:val="17"/>
              </w:rPr>
              <w:t xml:space="preserve">Brukt i</w:t>
            </w:r>
          </w:p>
        </w:tc>
      </w:tr>
      <w:tr>
        <w:trPr>
          <w:tblHeader w:val="off"/>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hyperlink w:history="1" r:id="rId3wy7oxdptduw6dgcd-rka">
              <w:r>
                <w:rPr>
                  <w:rStyle w:val="Hyperlink"/>
                  <w:rFonts w:ascii="Calibri" w:cs="Calibri" w:eastAsia="Calibri" w:hAnsi="Calibri"/>
                  <w:sz w:val="21"/>
                  <w:szCs w:val="21"/>
                </w:rPr>
                <w:t xml:space="preserve">Personvernforordningen art. 28</w:t>
              </w:r>
            </w:hyperlink>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Databehandlerens plikter; art. 28 nr. 3 bokstav g (sletting/tilbakelevering med unntak for lovpålagt lagring); art. 28 nr. 10</w:t>
            </w:r>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Gjelder som lov, jf. personopplysningsloven § 1</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Full tekst</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M4, M5</w:t>
            </w:r>
          </w:p>
        </w:tc>
      </w:tr>
      <w:tr>
        <w:trPr>
          <w:tblHeader w:val="off"/>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hyperlink w:history="1" r:id="rIdesodd8yedbuzgkkked2bc">
              <w:r>
                <w:rPr>
                  <w:rStyle w:val="Hyperlink"/>
                  <w:rFonts w:ascii="Calibri" w:cs="Calibri" w:eastAsia="Calibri" w:hAnsi="Calibri"/>
                  <w:sz w:val="21"/>
                  <w:szCs w:val="21"/>
                </w:rPr>
                <w:t xml:space="preserve">Personvernforordningen art. 4</w:t>
              </w:r>
            </w:hyperlink>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Definisjonen av personopplysninger – hva «anonymisert» må gå klar av</w:t>
            </w:r>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Gjelder som lov</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Full tekst</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M5</w:t>
            </w:r>
          </w:p>
        </w:tc>
      </w:tr>
      <w:tr>
        <w:trPr>
          <w:tblHeader w:val="off"/>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hyperlink w:history="1" r:id="rId_lnas4ndrmoapu-4ozogw">
              <w:r>
                <w:rPr>
                  <w:rStyle w:val="Hyperlink"/>
                  <w:rFonts w:ascii="Calibri" w:cs="Calibri" w:eastAsia="Calibri" w:hAnsi="Calibri"/>
                  <w:sz w:val="21"/>
                  <w:szCs w:val="21"/>
                </w:rPr>
                <w:t xml:space="preserve">Åndsverkloven § 24</w:t>
              </w:r>
            </w:hyperlink>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Databasevern for den som fremstiller en database</w:t>
            </w:r>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I kraft</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Full tekst</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M1 (løs tilknytning)</w:t>
            </w:r>
          </w:p>
        </w:tc>
      </w:tr>
      <w:tr>
        <w:trPr>
          <w:tblHeader w:val="off"/>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hyperlink w:history="1" r:id="rIdaed_cbhee6kn_yb5p4uiv">
              <w:r>
                <w:rPr>
                  <w:rStyle w:val="Hyperlink"/>
                  <w:rFonts w:ascii="Calibri" w:cs="Calibri" w:eastAsia="Calibri" w:hAnsi="Calibri"/>
                  <w:sz w:val="21"/>
                  <w:szCs w:val="21"/>
                </w:rPr>
                <w:t xml:space="preserve">Bokføringsloven § 13</w:t>
              </w:r>
            </w:hyperlink>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Lovpålagt oppbevaring – omfangstest mot sletteplikten</w:t>
            </w:r>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I kraft; § 13 endres med virkning fra 1.1.2027 (lov 19. juni 2026 nr. 39)</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Full tekst</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M4 (omfatter bare Leverandørens eget regnskapsmateriale)</w:t>
            </w:r>
          </w:p>
        </w:tc>
      </w:tr>
      <w:tr>
        <w:trPr>
          <w:tblHeader w:val="off"/>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hyperlink w:history="1" r:id="rIdem01vsaxibbstzdtwbxz1">
              <w:r>
                <w:rPr>
                  <w:rStyle w:val="Hyperlink"/>
                  <w:rFonts w:ascii="Calibri" w:cs="Calibri" w:eastAsia="Calibri" w:hAnsi="Calibri"/>
                  <w:sz w:val="21"/>
                  <w:szCs w:val="21"/>
                </w:rPr>
                <w:t xml:space="preserve">Anskaffelsesforskriften § 24-8</w:t>
              </w:r>
            </w:hyperlink>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Avvisning av tilbud med avvik fra anskaffelsesdokumentene</w:t>
            </w:r>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I kraft</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Full tekst</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M6</w:t>
            </w:r>
          </w:p>
        </w:tc>
      </w:tr>
      <w:tr>
        <w:trPr>
          <w:tblHeader w:val="off"/>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hyperlink w:history="1" r:id="rIdolwg-mbe0dvifhu7yd-ey">
              <w:r>
                <w:rPr>
                  <w:rStyle w:val="Hyperlink"/>
                  <w:rFonts w:ascii="Calibri" w:cs="Calibri" w:eastAsia="Calibri" w:hAnsi="Calibri"/>
                  <w:sz w:val="21"/>
                  <w:szCs w:val="21"/>
                </w:rPr>
                <w:t xml:space="preserve">Dataforvaltningsloven</w:t>
              </w:r>
            </w:hyperlink>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Viderebruk av offentlige data, formater og metadata (§ 9) – bakgrunn for Kundens interesse</w:t>
            </w:r>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VEDTATT, IKKE I KRAFT (Kongen bestemmer)</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Full tekst</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M3 (bakgrunn)</w:t>
            </w:r>
          </w:p>
        </w:tc>
      </w:tr>
      <w:tr>
        <w:trPr>
          <w:tblHeader w:val="off"/>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hyperlink w:history="1" r:id="rIduc3uoocnablyqlzwnbzor">
              <w:r>
                <w:rPr>
                  <w:rStyle w:val="Hyperlink"/>
                  <w:rFonts w:ascii="Calibri" w:cs="Calibri" w:eastAsia="Calibri" w:hAnsi="Calibri"/>
                  <w:sz w:val="21"/>
                  <w:szCs w:val="21"/>
                </w:rPr>
                <w:t xml:space="preserve">Data Act (EU) 2023/2854</w:t>
              </w:r>
            </w:hyperlink>
          </w:p>
          <w:p>
            <w:hyperlink w:history="1" r:id="rIds3dpyuapf0d_nvu4fnvdd">
              <w:r>
                <w:rPr>
                  <w:rStyle w:val="Hyperlink"/>
                  <w:rFonts w:ascii="Calibri" w:cs="Calibri" w:eastAsia="Calibri" w:hAnsi="Calibri"/>
                  <w:sz w:val="21"/>
                  <w:szCs w:val="21"/>
                </w:rPr>
                <w:t xml:space="preserve">EEA-Lex-status</w:t>
              </w:r>
            </w:hyperlink>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Art. 25: avtalevilkår om leverandørbytte, eksport og sletting</w:t>
            </w:r>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IKKE NORSK RETT – til vurdering for innlemmelse i EØS-avtalen</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Engelsk originaltekst</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M3 (bakgrunn)</w:t>
            </w:r>
          </w:p>
        </w:tc>
      </w:tr>
      <w:tr>
        <w:trPr>
          <w:tblHeader w:val="off"/>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hyperlink w:history="1" r:id="rIdg-1os3jqfwoompuxtio3q">
              <w:r>
                <w:rPr>
                  <w:rStyle w:val="Hyperlink"/>
                  <w:rFonts w:ascii="Calibri" w:cs="Calibri" w:eastAsia="Calibri" w:hAnsi="Calibri"/>
                  <w:sz w:val="21"/>
                  <w:szCs w:val="21"/>
                </w:rPr>
                <w:t xml:space="preserve">Forretningshemmelighetsloven</w:t>
              </w:r>
            </w:hyperlink>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Nevnt i DFØs veileder som begrensning på rettigheter til data</w:t>
            </w:r>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I kraft</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Tittel kontrollert</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Kontrollert, ikke brukt</w:t>
            </w:r>
          </w:p>
        </w:tc>
      </w:tr>
      <w:tr>
        <w:trPr>
          <w:tblHeader w:val="off"/>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Hvitvaskingsloven (oppbevaring)</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Nevnt i DFØs veileder som eksempel på lovpålagt oppbevaring</w:t>
            </w:r>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I kraft</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Ikke hentet</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Kontrollert, ikke relevant med mindre Leverandøren er rapporteringspliktig</w:t>
            </w:r>
          </w:p>
        </w:tc>
      </w:tr>
      <w:tr>
        <w:trPr>
          <w:tblHeader w:val="off"/>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Offentleglova, forvaltningsloven</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Offentlig kunde; taushetspliktsbestemmelsen i punkt 11</w:t>
            </w:r>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I kraft</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Kontrollert, ikke relevant (punkt 11 er uendret)</w:t>
            </w:r>
          </w:p>
        </w:tc>
      </w:tr>
      <w:tr>
        <w:trPr>
          <w:tblHeader w:val="off"/>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Alminnelig avtalerett (tolkning, uklarhetsregelen)</w:t>
            </w:r>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Uklarheter i nye 7.2</w:t>
            </w:r>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Ulovfestet</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Bare Høyesteretts avgjørelser; ingen juridisk litteratur</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M1, M2, M4</w:t>
            </w:r>
          </w:p>
        </w:tc>
      </w:tr>
      <w:tr>
        <w:trPr>
          <w:tblHeader w:val="off"/>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hyperlink w:history="1" r:id="rIdu49dijeonyx9lcev_uqie">
              <w:r>
                <w:rPr>
                  <w:rStyle w:val="Hyperlink"/>
                  <w:rFonts w:ascii="Calibri" w:cs="Calibri" w:eastAsia="Calibri" w:hAnsi="Calibri"/>
                  <w:sz w:val="21"/>
                  <w:szCs w:val="21"/>
                </w:rPr>
                <w:t xml:space="preserve">DFØ: Veileder om rettigheter til data i SSA-ene</w:t>
              </w:r>
            </w:hyperlink>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Utgiverens veiledning til revidert 7.2</w:t>
            </w:r>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Veiledning, ikke rettslig bindende</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Lest (nettside)</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Alle punkter</w:t>
            </w:r>
          </w:p>
        </w:tc>
      </w:tr>
      <w:tr>
        <w:trPr>
          <w:tblHeader w:val="off"/>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hyperlink w:history="1" r:id="rIddv_9le27ocpwayxn97prf">
              <w:r>
                <w:rPr>
                  <w:rStyle w:val="Hyperlink"/>
                  <w:rFonts w:ascii="Calibri" w:cs="Calibri" w:eastAsia="Calibri" w:hAnsi="Calibri"/>
                  <w:sz w:val="21"/>
                  <w:szCs w:val="21"/>
                </w:rPr>
                <w:t xml:space="preserve">DFØ: Hva er nytt rundt SSA</w:t>
              </w:r>
            </w:hyperlink>
          </w:p>
        </w:tc>
        <w:tc>
          <w:tcPr>
            <w:tcW w:type="dxa" w:w="25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Bakgrunn for revisjonen i mars 2026</w:t>
            </w:r>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Veiledning</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Lest (søkeutdrag)</w:t>
            </w:r>
          </w:p>
        </w:tc>
        <w:tc>
          <w:tcPr>
            <w:tcW w:type="dxa" w:w="13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7"/>
                <w:szCs w:val="17"/>
              </w:rPr>
              <w:t xml:space="preserve">Bakgrunn</w:t>
            </w:r>
          </w:p>
        </w:tc>
      </w:tr>
    </w:tbl>
    <w:p>
      <w:pPr>
        <w:spacing w:after="160"/>
      </w:pPr>
      <w:r>
        <w:rPr>
          <w:rFonts w:ascii="Calibri" w:cs="Calibri" w:eastAsia="Calibri" w:hAnsi="Calibri"/>
          <w:sz w:val="19"/>
          <w:szCs w:val="19"/>
        </w:rPr>
        <w:t xml:space="preserve">Hvorfor teksten er endret: DFØ opplyser at bestemmelsene om datarettigheter i SSA-ene ble revidert i 2025 og publisert i mars 2026 på oppdrag fra Digitaliserings- og forvaltningsdepartementet, for å gjøre det tydeligere hvilke data kunden har rettigheter til, hvordan leverandører kan bruke kundedata, og hvordan data skal håndteres ved avtalens slutt. Veilederen nevner at EUs regelverk om datadeling er under utvikling og kan påvirke bestemmelsen.</w:t>
      </w:r>
    </w:p>
    <w:p>
      <w:pPr>
        <w:pStyle w:val="Heading1"/>
        <w:spacing w:after="120" w:before="300"/>
      </w:pPr>
      <w:r>
        <w:rPr>
          <w:rFonts w:ascii="Calibri" w:cs="Calibri" w:eastAsia="Calibri" w:hAnsi="Calibri"/>
        </w:rPr>
        <w:t xml:space="preserve">Metode, begrensninger og kontroll</w:t>
      </w:r>
    </w:p>
    <w:p>
      <w:pPr>
        <w:spacing w:after="100"/>
      </w:pPr>
      <w:r>
        <w:rPr>
          <w:rFonts w:ascii="Calibri" w:cs="Calibri" w:eastAsia="Calibri" w:hAnsi="Calibri"/>
          <w:b/>
          <w:bCs/>
          <w:sz w:val="21"/>
          <w:szCs w:val="21"/>
        </w:rPr>
        <w:t xml:space="preserve">Metode: </w:t>
      </w:r>
      <w:r>
        <w:rPr>
          <w:rFonts w:ascii="Calibri" w:cs="Calibri" w:eastAsia="Calibri" w:hAnsi="Calibri"/>
          <w:sz w:val="21"/>
          <w:szCs w:val="21"/>
        </w:rPr>
        <w:t xml:space="preserve">Originalfilene er kopiert til workspace/00_source med sjekksummer (MANIFEST.md) og ikke endret. All tekst er hentet direkte fra Word-XML, inkludert tekstbokser, topp- og bunntekster, og sammenlignet avsnitt for avsnitt. Endrede punkter er lest sammen med punktene de viser til og med alle bestemmelser om rangordning og om samme tema (data, sletting, sikkerhetskopier, overføring, format, metadata). Lovtekst er hentet fra Lovdata via Lovkart; utgiverens veileder er lest på anskaffelser.no. Hvert middels-punkt er vurdert mot det avtalen og loven allerede regulerer, og utkastet er kontrollert av en uavhengig gjennomgang.</w:t>
      </w:r>
    </w:p>
    <w:p>
      <w:pPr>
        <w:spacing w:after="40"/>
      </w:pPr>
      <w:r>
        <w:rPr>
          <w:rFonts w:ascii="Calibri" w:cs="Calibri" w:eastAsia="Calibri" w:hAnsi="Calibri"/>
          <w:b/>
          <w:bCs/>
          <w:sz w:val="21"/>
          <w:szCs w:val="21"/>
        </w:rPr>
        <w:t xml:space="preserve">Begrensninger: </w:t>
      </w:r>
    </w:p>
    <w:p>
      <w:pPr>
        <w:pStyle w:val="ListParagraph"/>
        <w:numPr>
          <w:ilvl w:val="0"/>
          <w:numId w:val="2"/>
        </w:numPr>
        <w:spacing w:after="60"/>
      </w:pPr>
      <w:r>
        <w:rPr>
          <w:rFonts w:ascii="Calibri" w:cs="Calibri" w:eastAsia="Calibri" w:hAnsi="Calibri"/>
          <w:sz w:val="21"/>
          <w:szCs w:val="21"/>
        </w:rPr>
        <w:t xml:space="preserve">Lovkart dekker gjeldende norsk lov, sentrale forskrifter, forarbeider (1986–2026) og Høyesteretts avgjørelser – ikke underrettspraksis, nemndspraksis, juridisk litteratur eller lovkommentarer. EU/EØS-dekningen er delvis.</w:t>
      </w:r>
    </w:p>
    <w:p>
      <w:pPr>
        <w:pStyle w:val="ListParagraph"/>
        <w:numPr>
          <w:ilvl w:val="0"/>
          <w:numId w:val="2"/>
        </w:numPr>
        <w:spacing w:after="60"/>
      </w:pPr>
      <w:r>
        <w:rPr>
          <w:rFonts w:ascii="Calibri" w:cs="Calibri" w:eastAsia="Calibri" w:hAnsi="Calibri"/>
          <w:sz w:val="21"/>
          <w:szCs w:val="21"/>
        </w:rPr>
        <w:t xml:space="preserve">Gjennomgangen bygger på blanke maler. Kundens utfylte bilag 1, Leverandørens bilag 2, prisbilag 6 og en eventuell databehandleravtale er ikke gjennomgått; flere vurderinger avhenger av dem.</w:t>
      </w:r>
    </w:p>
    <w:p>
      <w:pPr>
        <w:pStyle w:val="ListParagraph"/>
        <w:numPr>
          <w:ilvl w:val="0"/>
          <w:numId w:val="2"/>
        </w:numPr>
        <w:spacing w:after="60"/>
      </w:pPr>
      <w:r>
        <w:rPr>
          <w:rFonts w:ascii="Calibri" w:cs="Calibri" w:eastAsia="Calibri" w:hAnsi="Calibri"/>
          <w:sz w:val="21"/>
          <w:szCs w:val="21"/>
        </w:rPr>
        <w:t xml:space="preserve">DFØs veileder er et tolkningsmoment uten bindende rettslig kraft. Den ble lest i sin helhet på nettsiden; den sier ikke noe uttrykkelig om sikkerhetskopier eller om forholdet til databehandleravtalen.</w:t>
      </w:r>
    </w:p>
    <w:p>
      <w:pPr>
        <w:pStyle w:val="ListParagraph"/>
        <w:numPr>
          <w:ilvl w:val="0"/>
          <w:numId w:val="2"/>
        </w:numPr>
        <w:spacing w:after="60"/>
      </w:pPr>
      <w:r>
        <w:rPr>
          <w:rFonts w:ascii="Calibri" w:cs="Calibri" w:eastAsia="Calibri" w:hAnsi="Calibri"/>
          <w:sz w:val="21"/>
          <w:szCs w:val="21"/>
        </w:rPr>
        <w:t xml:space="preserve">Endringer i tekstbokser på forsidene (versjonsangivelser) og sidetall i innholdsfortegnelsene er ikke markert som sporede endringer i redlinene, men er omtalt i L4 og L5.</w:t>
      </w:r>
    </w:p>
    <w:p>
      <w:pPr>
        <w:pStyle w:val="ListParagraph"/>
        <w:numPr>
          <w:ilvl w:val="0"/>
          <w:numId w:val="2"/>
        </w:numPr>
        <w:spacing w:after="60"/>
      </w:pPr>
      <w:r>
        <w:rPr>
          <w:rFonts w:ascii="Calibri" w:cs="Calibri" w:eastAsia="Calibri" w:hAnsi="Calibri"/>
          <w:sz w:val="21"/>
          <w:szCs w:val="21"/>
        </w:rPr>
        <w:t xml:space="preserve">Vurderingen av betydning er gjort fra Leverandørens side. Fra Kundens side ville fargene vært andre.</w:t>
      </w:r>
    </w:p>
    <w:p>
      <w:pPr>
        <w:spacing w:after="100"/>
      </w:pPr>
      <w:r>
        <w:rPr>
          <w:rFonts w:ascii="Calibri" w:cs="Calibri" w:eastAsia="Calibri" w:hAnsi="Calibri"/>
          <w:b/>
          <w:bCs/>
          <w:sz w:val="21"/>
          <w:szCs w:val="21"/>
        </w:rPr>
        <w:t xml:space="preserve">Ikke juridisk rådgivning: </w:t>
      </w:r>
      <w:r>
        <w:rPr>
          <w:rFonts w:ascii="Calibri" w:cs="Calibri" w:eastAsia="Calibri" w:hAnsi="Calibri"/>
          <w:sz w:val="21"/>
          <w:szCs w:val="21"/>
        </w:rPr>
        <w:t xml:space="preserve">Dette er informasjon fra de innhentede kildene, ikke juridisk rådgivning. Beslutninger av betydning krever en advokats vurdering.</w:t>
      </w:r>
    </w:p>
    <w:p>
      <w:pPr>
        <w:spacing w:after="100"/>
      </w:pPr>
      <w:r>
        <w:rPr>
          <w:rFonts w:ascii="Calibri" w:cs="Calibri" w:eastAsia="Calibri" w:hAnsi="Calibri"/>
          <w:b/>
          <w:bCs/>
          <w:sz w:val="21"/>
          <w:szCs w:val="21"/>
        </w:rPr>
        <w:t xml:space="preserve">Hvem kan kontrollere: </w:t>
      </w:r>
      <w:r>
        <w:rPr>
          <w:rFonts w:ascii="Calibri" w:cs="Calibri" w:eastAsia="Calibri" w:hAnsi="Calibri"/>
          <w:sz w:val="21"/>
          <w:szCs w:val="21"/>
        </w:rPr>
        <w:t xml:space="preserve">Advokatforeningens advokatsøk, </w:t>
      </w:r>
      <w:hyperlink w:history="1" r:id="rIdahjrpbasldhwouxang3s3">
        <w:r>
          <w:rPr>
            <w:rStyle w:val="Hyperlink"/>
            <w:rFonts w:ascii="Calibri" w:cs="Calibri" w:eastAsia="Calibri" w:hAnsi="Calibri"/>
            <w:sz w:val="21"/>
            <w:szCs w:val="21"/>
          </w:rPr>
          <w:t xml:space="preserve">Advokatenhjelperdeg</w:t>
        </w:r>
      </w:hyperlink>
      <w:r>
        <w:rPr>
          <w:rFonts w:ascii="Calibri" w:cs="Calibri" w:eastAsia="Calibri" w:hAnsi="Calibri"/>
          <w:sz w:val="21"/>
          <w:szCs w:val="21"/>
        </w:rPr>
        <w:t xml:space="preserve"> (finn advokat etter fagområde og sted). Lenken peker til forsiden fordi en av de generelle veiledningslenkene feilet ved siste kontroll.</w:t>
      </w:r>
    </w:p>
    <w:p>
      <w:pPr>
        <w:sectPr>
          <w:footerReference w:type="default" r:id="rId6"/>
          <w:pgSz w:w="11906" w:h="16838" w:orient="portrait"/>
          <w:pgMar w:top="1300" w:right="1450" w:bottom="1300" w:left="1450" w:header="708" w:footer="708" w:gutter="0"/>
          <w:pgNumType/>
          <w:docGrid w:linePitch="360"/>
        </w:sectPr>
      </w:pPr>
    </w:p>
    <w:p>
      <w:pPr>
        <w:pStyle w:val="Heading1"/>
        <w:spacing w:after="120" w:before="300"/>
      </w:pPr>
      <w:r>
        <w:rPr>
          <w:rFonts w:ascii="Calibri" w:cs="Calibri" w:eastAsia="Calibri" w:hAnsi="Calibri"/>
        </w:rPr>
        <w:t xml:space="preserve">Vedlegg: endringstabell</w:t>
      </w:r>
    </w:p>
    <w:tbl>
      <w:tblPr>
        <w:tblW w:type="dxa" w:w="14000"/>
        <w:tblBorders>
          <w:top w:val="single" w:color="auto" w:sz="4"/>
          <w:left w:val="single" w:color="auto" w:sz="4"/>
          <w:bottom w:val="single" w:color="auto" w:sz="4"/>
          <w:right w:val="single" w:color="auto" w:sz="4"/>
          <w:insideH w:val="single" w:color="auto" w:sz="4"/>
          <w:insideV w:val="single" w:color="auto" w:sz="4"/>
        </w:tblBorders>
      </w:tblPr>
      <w:tblGrid>
        <w:gridCol w:w="1700"/>
        <w:gridCol w:w="2900"/>
        <w:gridCol w:w="3100"/>
        <w:gridCol w:w="2000"/>
        <w:gridCol w:w="1100"/>
        <w:gridCol w:w="1550"/>
        <w:gridCol w:w="1650"/>
      </w:tblGrid>
      <w:tr>
        <w:trPr>
          <w:tblHeader/>
        </w:trPr>
        <w:tc>
          <w:tcPr>
            <w:tcW w:type="dxa" w:w="1700"/>
            <w:tcBorders>
              <w:top w:val="single" w:color="BFBFBF" w:sz="4"/>
              <w:left w:val="single" w:color="BFBFBF" w:sz="4"/>
              <w:bottom w:val="single" w:color="BFBFBF" w:sz="4"/>
              <w:right w:val="single" w:color="BFBFBF" w:sz="4"/>
            </w:tcBorders>
            <w:shd w:fill="E8EEF4" w:color="auto" w:val="clear"/>
            <w:tcMar>
              <w:top w:type="dxa" w:w="60"/>
              <w:left w:type="dxa" w:w="90"/>
              <w:bottom w:type="dxa" w:w="60"/>
              <w:right w:type="dxa" w:w="90"/>
            </w:tcMar>
          </w:tcPr>
          <w:p>
            <w:r>
              <w:rPr>
                <w:rFonts w:ascii="Calibri" w:cs="Calibri" w:eastAsia="Calibri" w:hAnsi="Calibri"/>
                <w:b/>
                <w:bCs/>
                <w:sz w:val="16"/>
                <w:szCs w:val="16"/>
              </w:rPr>
              <w:t xml:space="preserve">Punkt</w:t>
            </w:r>
          </w:p>
        </w:tc>
        <w:tc>
          <w:tcPr>
            <w:tcW w:type="dxa" w:w="2900"/>
            <w:tcBorders>
              <w:top w:val="single" w:color="BFBFBF" w:sz="4"/>
              <w:left w:val="single" w:color="BFBFBF" w:sz="4"/>
              <w:bottom w:val="single" w:color="BFBFBF" w:sz="4"/>
              <w:right w:val="single" w:color="BFBFBF" w:sz="4"/>
            </w:tcBorders>
            <w:shd w:fill="E8EEF4" w:color="auto" w:val="clear"/>
            <w:tcMar>
              <w:top w:type="dxa" w:w="60"/>
              <w:left w:type="dxa" w:w="90"/>
              <w:bottom w:type="dxa" w:w="60"/>
              <w:right w:type="dxa" w:w="90"/>
            </w:tcMar>
          </w:tcPr>
          <w:p>
            <w:r>
              <w:rPr>
                <w:rFonts w:ascii="Calibri" w:cs="Calibri" w:eastAsia="Calibri" w:hAnsi="Calibri"/>
                <w:b/>
                <w:bCs/>
                <w:sz w:val="16"/>
                <w:szCs w:val="16"/>
              </w:rPr>
              <w:t xml:space="preserve">Gammel ordlyd (2018)</w:t>
            </w:r>
          </w:p>
        </w:tc>
        <w:tc>
          <w:tcPr>
            <w:tcW w:type="dxa" w:w="3100"/>
            <w:tcBorders>
              <w:top w:val="single" w:color="BFBFBF" w:sz="4"/>
              <w:left w:val="single" w:color="BFBFBF" w:sz="4"/>
              <w:bottom w:val="single" w:color="BFBFBF" w:sz="4"/>
              <w:right w:val="single" w:color="BFBFBF" w:sz="4"/>
            </w:tcBorders>
            <w:shd w:fill="E8EEF4" w:color="auto" w:val="clear"/>
            <w:tcMar>
              <w:top w:type="dxa" w:w="60"/>
              <w:left w:type="dxa" w:w="90"/>
              <w:bottom w:type="dxa" w:w="60"/>
              <w:right w:type="dxa" w:w="90"/>
            </w:tcMar>
          </w:tcPr>
          <w:p>
            <w:r>
              <w:rPr>
                <w:rFonts w:ascii="Calibri" w:cs="Calibri" w:eastAsia="Calibri" w:hAnsi="Calibri"/>
                <w:b/>
                <w:bCs/>
                <w:sz w:val="16"/>
                <w:szCs w:val="16"/>
              </w:rPr>
              <w:t xml:space="preserve">Ny ordlyd (2026)</w:t>
            </w:r>
          </w:p>
        </w:tc>
        <w:tc>
          <w:tcPr>
            <w:tcW w:type="dxa" w:w="2000"/>
            <w:tcBorders>
              <w:top w:val="single" w:color="BFBFBF" w:sz="4"/>
              <w:left w:val="single" w:color="BFBFBF" w:sz="4"/>
              <w:bottom w:val="single" w:color="BFBFBF" w:sz="4"/>
              <w:right w:val="single" w:color="BFBFBF" w:sz="4"/>
            </w:tcBorders>
            <w:shd w:fill="E8EEF4" w:color="auto" w:val="clear"/>
            <w:tcMar>
              <w:top w:type="dxa" w:w="60"/>
              <w:left w:type="dxa" w:w="90"/>
              <w:bottom w:type="dxa" w:w="60"/>
              <w:right w:type="dxa" w:w="90"/>
            </w:tcMar>
          </w:tcPr>
          <w:p>
            <w:r>
              <w:rPr>
                <w:rFonts w:ascii="Calibri" w:cs="Calibri" w:eastAsia="Calibri" w:hAnsi="Calibri"/>
                <w:b/>
                <w:bCs/>
                <w:sz w:val="16"/>
                <w:szCs w:val="16"/>
              </w:rPr>
              <w:t xml:space="preserve">Virkning</w:t>
            </w:r>
          </w:p>
        </w:tc>
        <w:tc>
          <w:tcPr>
            <w:tcW w:type="dxa" w:w="1100"/>
            <w:tcBorders>
              <w:top w:val="single" w:color="BFBFBF" w:sz="4"/>
              <w:left w:val="single" w:color="BFBFBF" w:sz="4"/>
              <w:bottom w:val="single" w:color="BFBFBF" w:sz="4"/>
              <w:right w:val="single" w:color="BFBFBF" w:sz="4"/>
            </w:tcBorders>
            <w:shd w:fill="E8EEF4" w:color="auto" w:val="clear"/>
            <w:tcMar>
              <w:top w:type="dxa" w:w="60"/>
              <w:left w:type="dxa" w:w="90"/>
              <w:bottom w:type="dxa" w:w="60"/>
              <w:right w:type="dxa" w:w="90"/>
            </w:tcMar>
          </w:tcPr>
          <w:p>
            <w:r>
              <w:rPr>
                <w:rFonts w:ascii="Calibri" w:cs="Calibri" w:eastAsia="Calibri" w:hAnsi="Calibri"/>
                <w:b/>
                <w:bCs/>
                <w:sz w:val="16"/>
                <w:szCs w:val="16"/>
              </w:rPr>
              <w:t xml:space="preserve">Grad</w:t>
            </w:r>
          </w:p>
        </w:tc>
        <w:tc>
          <w:tcPr>
            <w:tcW w:type="dxa" w:w="1550"/>
            <w:tcBorders>
              <w:top w:val="single" w:color="BFBFBF" w:sz="4"/>
              <w:left w:val="single" w:color="BFBFBF" w:sz="4"/>
              <w:bottom w:val="single" w:color="BFBFBF" w:sz="4"/>
              <w:right w:val="single" w:color="BFBFBF" w:sz="4"/>
            </w:tcBorders>
            <w:shd w:fill="E8EEF4" w:color="auto" w:val="clear"/>
            <w:tcMar>
              <w:top w:type="dxa" w:w="60"/>
              <w:left w:type="dxa" w:w="90"/>
              <w:bottom w:type="dxa" w:w="60"/>
              <w:right w:type="dxa" w:w="90"/>
            </w:tcMar>
          </w:tcPr>
          <w:p>
            <w:r>
              <w:rPr>
                <w:rFonts w:ascii="Calibri" w:cs="Calibri" w:eastAsia="Calibri" w:hAnsi="Calibri"/>
                <w:b/>
                <w:bCs/>
                <w:sz w:val="16"/>
                <w:szCs w:val="16"/>
              </w:rPr>
              <w:t xml:space="preserve">Dekket av</w:t>
            </w:r>
          </w:p>
        </w:tc>
        <w:tc>
          <w:tcPr>
            <w:tcW w:type="dxa" w:w="1650"/>
            <w:tcBorders>
              <w:top w:val="single" w:color="BFBFBF" w:sz="4"/>
              <w:left w:val="single" w:color="BFBFBF" w:sz="4"/>
              <w:bottom w:val="single" w:color="BFBFBF" w:sz="4"/>
              <w:right w:val="single" w:color="BFBFBF" w:sz="4"/>
            </w:tcBorders>
            <w:shd w:fill="E8EEF4" w:color="auto" w:val="clear"/>
            <w:tcMar>
              <w:top w:type="dxa" w:w="60"/>
              <w:left w:type="dxa" w:w="90"/>
              <w:bottom w:type="dxa" w:w="60"/>
              <w:right w:type="dxa" w:w="90"/>
            </w:tcMar>
          </w:tcPr>
          <w:p>
            <w:r>
              <w:rPr>
                <w:rFonts w:ascii="Calibri" w:cs="Calibri" w:eastAsia="Calibri" w:hAnsi="Calibri"/>
                <w:b/>
                <w:bCs/>
                <w:sz w:val="16"/>
                <w:szCs w:val="16"/>
              </w:rPr>
              <w:t xml:space="preserve">Kilde</w:t>
            </w:r>
          </w:p>
        </w:tc>
      </w:tr>
      <w:tr>
        <w:trPr>
          <w:tblHeader w:val="off"/>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L3: Punkt 7.2 overskrift og innholdsfortegnelsen</w:t>
            </w:r>
          </w:p>
        </w:tc>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Overskrift: «Eiendomsrett til data»</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Overskrift: «rettigheter til data»</w:t>
            </w:r>
          </w:p>
        </w:tc>
        <w:tc>
          <w:tcPr>
            <w:tcW w:type="dxa" w:w="20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Redaksjonell.</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 Lav</w:t>
            </w:r>
          </w:p>
        </w:tc>
        <w:tc>
          <w:tcPr>
            <w:tcW w:type="dxa" w:w="15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w:t>
            </w:r>
          </w:p>
        </w:tc>
      </w:tr>
      <w:tr>
        <w:trPr>
          <w:tblHeader w:val="off"/>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M1: Punkt 7.2 første ledd (2018: 7.2 første ledd)</w:t>
            </w:r>
          </w:p>
        </w:tc>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Kunden beholder eiendomsrett til alle data som overlates til Leverandøren for behandling, og som lagres eller prosesseres ved hjelp av tjenestene under denne avtalen. Det samme gjelder resultatet av Leverandørens behandling av slike data.</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Kunden (og dennes rettighetshavere) beholder rettigheter til de data som tilgjengeliggjøres for Leverandøren og får rettighetene til de data som samles inn, prosesseres, bearbeides, genereres, oppstår eller på annen måte behandles i henhold til denne Avtalen. Det samme gjelder resultater av slik behandling av slike data.</w:t>
            </w:r>
          </w:p>
        </w:tc>
        <w:tc>
          <w:tcPr>
            <w:tcW w:type="dxa" w:w="20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Kundens rettigheter omfatter også genererte data; Leverandørens bruk begrenset.</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 Middels</w:t>
            </w:r>
          </w:p>
        </w:tc>
        <w:tc>
          <w:tcPr>
            <w:tcW w:type="dxa" w:w="15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7.1; 7.2 femte ledd; 11</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Avtalevilkår; åndsverkloven § 24</w:t>
            </w:r>
          </w:p>
        </w:tc>
      </w:tr>
      <w:tr>
        <w:trPr>
          <w:tblHeader w:val="off"/>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L1: Punkt 7.2 annet ledd første punktum</w:t>
            </w:r>
          </w:p>
        </w:tc>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Leverandøren har tilgang til data som nevnt ovenfor utelukkende i den utstrekning som er nødvendig for at Leverandøren skal kunne oppfylle sine forpliktelser i henhold til avtalen.</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Leverandøren skal ha tilgang og bruksrett til data som nevnt ovenfor i den utstrekning som er nødvendig for at Leverandøren skal kunne oppfylle sine forpliktelser i henhold til Avtalen.</w:t>
            </w:r>
          </w:p>
        </w:tc>
        <w:tc>
          <w:tcPr>
            <w:tcW w:type="dxa" w:w="20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Presiserer bruksrett; gunstig.</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 Lav</w:t>
            </w:r>
          </w:p>
        </w:tc>
        <w:tc>
          <w:tcPr>
            <w:tcW w:type="dxa" w:w="15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Avtalevilkår</w:t>
            </w:r>
          </w:p>
        </w:tc>
      </w:tr>
      <w:tr>
        <w:trPr>
          <w:tblHeader w:val="off"/>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M2: Punkt 7.2 annet ledd annet punktum (nytt)</w:t>
            </w:r>
          </w:p>
        </w:tc>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(ingen tilsvarende tekst)</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Kunden skal til enhver tid ha tilgang til data som Kunden har rettighetene til og resultatet av Leverandørens behandling av disse dataene.</w:t>
            </w:r>
          </w:p>
        </w:tc>
        <w:tc>
          <w:tcPr>
            <w:tcW w:type="dxa" w:w="20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Løpende tilgangsplikt; format, hyppighet og vederlag uregulert.</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 Middels</w:t>
            </w:r>
          </w:p>
        </w:tc>
        <w:tc>
          <w:tcPr>
            <w:tcW w:type="dxa" w:w="15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Bilag 4; 2.2; 9.1; 5.3; bilag 1-felt</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Avtalevilkår</w:t>
            </w:r>
          </w:p>
        </w:tc>
      </w:tr>
      <w:tr>
        <w:trPr>
          <w:tblHeader w:val="off"/>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M3: Punkt 7.2 tredje ledd første punktum (nytt)</w:t>
            </w:r>
          </w:p>
        </w:tc>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(ingen tilsvarende tekst)</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Leverandøren skal ved avtalens opphør tilgjengeliggjøre data til Kunden eller den Kunden utpeker på et allment tilgjengelig og maskinleselig format, med opprinnelige strukturer og metadata intakt, jf. også punkt 5.3.</w:t>
            </w:r>
          </w:p>
        </w:tc>
        <w:tc>
          <w:tcPr>
            <w:tcW w:type="dxa" w:w="20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Nytt formatkrav ved opphør; betaling etter 5.3/bilag 6.</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 Middels</w:t>
            </w:r>
          </w:p>
        </w:tc>
        <w:tc>
          <w:tcPr>
            <w:tcW w:type="dxa" w:w="15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5.3 tredje ledd nr. 1 og 5; bilag 6</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Avtalevilkår; Data Act art. 25 (ikke norsk rett)</w:t>
            </w:r>
          </w:p>
        </w:tc>
      </w:tr>
      <w:tr>
        <w:trPr>
          <w:tblHeader w:val="off"/>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M4: Punkt 7.2 tredje ledd annet punktum (nytt)</w:t>
            </w:r>
          </w:p>
        </w:tc>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(ingen tilsvarende tekst)</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Dersom ikke annet fremgår av Bilag 1, skal Leverandøren ved Avtalens opphør slette alle egne kopier av Kundens data.</w:t>
            </w:r>
          </w:p>
        </w:tc>
        <w:tc>
          <w:tcPr>
            <w:tcW w:type="dxa" w:w="20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Ubetinget sletteplikt; uten unntak i teksten for lovpålagt lagring og sikkerhetskopier; art. 82-ansvar utenfor erstatningsbegrensningen (6.2).</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 Middels</w:t>
            </w:r>
          </w:p>
        </w:tc>
        <w:tc>
          <w:tcPr>
            <w:tcW w:type="dxa" w:w="15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6.2 + art. 28 nr. 3 bokstav g (personopplysninger); bilag 1</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GDPR art. 28; bokføringsloven § 13</w:t>
            </w:r>
          </w:p>
        </w:tc>
      </w:tr>
      <w:tr>
        <w:trPr>
          <w:tblHeader w:val="off"/>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M5: Punkt 7.2 femte ledd første punktum (nytt)</w:t>
            </w:r>
          </w:p>
        </w:tc>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(ingen tilsvarende tekst)</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Leverandøren kan benytte anonymiserte data angående Kundens bruk av tjenesten til å forbedre sine tjenester, med mindre Kunden har tatt forbehold om det i Bilag 1.</w:t>
            </w:r>
          </w:p>
        </w:tc>
        <w:tc>
          <w:tcPr>
            <w:tcW w:type="dxa" w:w="20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Ny bruksrett med vilkår (anonymisering) og forbeholdsadgang for Kunden.</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 Middels</w:t>
            </w:r>
          </w:p>
        </w:tc>
        <w:tc>
          <w:tcPr>
            <w:tcW w:type="dxa" w:w="15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6.2; 11</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GDPR art. 4 og 28</w:t>
            </w:r>
          </w:p>
        </w:tc>
      </w:tr>
      <w:tr>
        <w:trPr>
          <w:tblHeader w:val="off"/>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L2: Punkt 7.2 femte ledd annet og tredje punktum (nytt)</w:t>
            </w:r>
          </w:p>
        </w:tc>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(ingen tilsvarende tekst)</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Bestemmelsen er ikke til hinder for at Leverandøren kan benytte innsamlede eller genererte data knyttet til etablering til å forbedre sine tjenester. Dette gjelder eksempelvis data om testresultater, feillogger, estimeringsdata, utviklingsinnsikt, prosjektrapporter mv, forutsatt at dette ikke er knyttet til Kundens virksomhetsdata, sikkerhetsmessige aspekter eller andre forhold som er underlagt taushetsplikt etter Avtalen eller begrensninger i lov og forskrift.</w:t>
            </w:r>
          </w:p>
        </w:tc>
        <w:tc>
          <w:tcPr>
            <w:tcW w:type="dxa" w:w="20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Ny bruksrett; vilkår gjentar eksisterende plikter.</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 Lav</w:t>
            </w:r>
          </w:p>
        </w:tc>
        <w:tc>
          <w:tcPr>
            <w:tcW w:type="dxa" w:w="15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11</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Avtalevilkår</w:t>
            </w:r>
          </w:p>
        </w:tc>
      </w:tr>
      <w:tr>
        <w:trPr>
          <w:tblHeader w:val="off"/>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M6: Punkt 7.2 sjette ledd (nytt) og nytt felt i bilag 1 for punkt 7.2</w:t>
            </w:r>
          </w:p>
        </w:tc>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(ingen tilsvarende tekst)</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Andre reguleringer kan angis av Kunden i Bilag 1. (Bilag 1: nytt felt «Avtalens punkt 7.2 Rettigheter til data».)</w:t>
            </w:r>
          </w:p>
        </w:tc>
        <w:tc>
          <w:tcPr>
            <w:tcW w:type="dxa" w:w="20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Klart angitte bilag 1-krav under 7.2 kan gå foran 7.2 selv.</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 Middels</w:t>
            </w:r>
          </w:p>
        </w:tc>
        <w:tc>
          <w:tcPr>
            <w:tcW w:type="dxa" w:w="15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1.3 (henvisningsregelen); bilag 2; bilag 7</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Avtalevilkår; FOA § 24-8</w:t>
            </w:r>
          </w:p>
        </w:tc>
      </w:tr>
      <w:tr>
        <w:trPr>
          <w:tblHeader w:val="off"/>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L4: Bunntekst, generell avtaletekst</w:t>
            </w:r>
          </w:p>
        </w:tc>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Bunntekst: «… Oppdatert desember 2018.» / «… Sist oppdatert mai 2019.»; topptekst «SSA-L 2018»</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Bunntekst: «SSA-L Generell avtaletekst 2018 (bokmål). Oppdatert 2026.» / «… Sist oppdatert 2026.»</w:t>
            </w:r>
          </w:p>
        </w:tc>
        <w:tc>
          <w:tcPr>
            <w:tcW w:type="dxa" w:w="20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Redaksjonell.</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 Lav</w:t>
            </w:r>
          </w:p>
        </w:tc>
        <w:tc>
          <w:tcPr>
            <w:tcW w:type="dxa" w:w="15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w:t>
            </w:r>
          </w:p>
        </w:tc>
      </w:tr>
      <w:tr>
        <w:trPr>
          <w:tblHeader w:val="off"/>
        </w:trPr>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L5: Bilag – forside, innledning, innholdsfortegnelse</w:t>
            </w:r>
          </w:p>
        </w:tc>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Versjon 2018; ssa-post@difi.no</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Versjon 2026; ssa-post@dfo.no</w:t>
            </w:r>
          </w:p>
        </w:tc>
        <w:tc>
          <w:tcPr>
            <w:tcW w:type="dxa" w:w="20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Redaksjonell.</w:t>
            </w:r>
          </w:p>
        </w:tc>
        <w:tc>
          <w:tcPr>
            <w:tcW w:type="dxa" w:w="110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 Lav</w:t>
            </w:r>
          </w:p>
        </w:tc>
        <w:tc>
          <w:tcPr>
            <w:tcW w:type="dxa" w:w="15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w:t>
            </w:r>
          </w:p>
        </w:tc>
        <w:tc>
          <w:tcPr>
            <w:tcW w:type="dxa" w:w="1650"/>
            <w:tcBorders>
              <w:top w:val="single" w:color="BFBFBF" w:sz="4"/>
              <w:left w:val="single" w:color="BFBFBF" w:sz="4"/>
              <w:bottom w:val="single" w:color="BFBFBF" w:sz="4"/>
              <w:right w:val="single" w:color="BFBFBF" w:sz="4"/>
            </w:tcBorders>
            <w:tcMar>
              <w:top w:type="dxa" w:w="60"/>
              <w:left w:type="dxa" w:w="90"/>
              <w:bottom w:type="dxa" w:w="60"/>
              <w:right w:type="dxa" w:w="90"/>
            </w:tcMar>
          </w:tcPr>
          <w:p>
            <w:r>
              <w:rPr>
                <w:rFonts w:ascii="Calibri" w:cs="Calibri" w:eastAsia="Calibri" w:hAnsi="Calibri"/>
                <w:b w:val="false"/>
                <w:bCs w:val="false"/>
                <w:sz w:val="16"/>
                <w:szCs w:val="16"/>
              </w:rPr>
              <w:t xml:space="preserve">–</w:t>
            </w:r>
          </w:p>
        </w:tc>
      </w:tr>
    </w:tbl>
    <w:sectPr>
      <w:footerReference w:type="default" r:id="rId7"/>
      <w:pgSz w:w="16838" w:h="11906" w:orient="landscape"/>
      <w:pgMar w:top="1000" w:right="900" w:bottom="10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sz w:val="16"/>
        <w:szCs w:val="16"/>
      </w:rPr>
      <w:t xml:space="preserve">SSA-L 2018 → 2026 – sammendrag, leverandørperspektiv   Side </w:t>
    </w:r>
    <w:r>
      <w:rPr>
        <w:rFonts w:ascii="Calibri" w:cs="Calibri" w:eastAsia="Calibri" w:hAnsi="Calibri"/>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sz w:val="16"/>
        <w:szCs w:val="16"/>
      </w:rPr>
      <w:t xml:space="preserve">SSA-L 2018 → 2026 – sammendrag, leverandørperspektiv   Side </w:t>
    </w:r>
    <w:r>
      <w:rPr>
        <w:rFonts w:ascii="Calibri" w:cs="Calibri" w:eastAsia="Calibri" w:hAnsi="Calibri"/>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00"/>
      <w:outlineLvl w:val="0"/>
    </w:pPr>
    <w:rPr>
      <w:rFonts w:ascii="Calibri" w:cs="Calibri" w:eastAsia="Calibri" w:hAnsi="Calibri"/>
      <w:b/>
      <w:bCs/>
      <w:color w:val="1F3A5F"/>
      <w:sz w:val="30"/>
      <w:szCs w:val="30"/>
    </w:rPr>
  </w:style>
  <w:style w:type="paragraph" w:styleId="Heading2">
    <w:name w:val="Heading 2"/>
    <w:basedOn w:val="Normal"/>
    <w:next w:val="Normal"/>
    <w:qFormat/>
    <w:pPr>
      <w:spacing w:after="100" w:before="240"/>
      <w:outlineLvl w:val="1"/>
    </w:pPr>
    <w:rPr>
      <w:rFonts w:ascii="Calibri" w:cs="Calibri" w:eastAsia="Calibri" w:hAnsi="Calibri"/>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nsrs6nxe0pcognowxymbv" Type="http://schemas.openxmlformats.org/officeDocument/2006/relationships/hyperlink" Target="https://lovdata.no/lov/2018-06-15-40/&#167;24" TargetMode="External"/><Relationship Id="rIdw8ebxzzvwcrr7hzfnekma" Type="http://schemas.openxmlformats.org/officeDocument/2006/relationships/hyperlink" Target="https://www.anskaffelser.no/anskaffelsesregelverk/statens-standardavtaler-ssa/veileder-om-rettigheter-til-data-i-ssa-ene" TargetMode="External"/><Relationship Id="rIdapfh6gx9e1j-rjrtp5xzu" Type="http://schemas.openxmlformats.org/officeDocument/2006/relationships/hyperlink" Target="https://www.anskaffelser.no/anskaffelsesregelverk/statens-standardavtaler-ssa/veileder-om-rettigheter-til-data-i-ssa-ene" TargetMode="External"/><Relationship Id="rIdvprt-y-_tihcpegkl1bcr" Type="http://schemas.openxmlformats.org/officeDocument/2006/relationships/hyperlink" Target="https://www.anskaffelser.no/anskaffelsesregelverk/statens-standardavtaler-ssa/veileder-om-rettigheter-til-data-i-ssa-ene" TargetMode="External"/><Relationship Id="rIdwyuq4enpeznf0_elqsifn" Type="http://schemas.openxmlformats.org/officeDocument/2006/relationships/hyperlink" Target="https://eur-lex.europa.eu/legal-content/EN/TXT/?uri=CELEX:32023R2854" TargetMode="External"/><Relationship Id="rIdnex_9wsot5fs1-ylbisj-" Type="http://schemas.openxmlformats.org/officeDocument/2006/relationships/hyperlink" Target="https://www.efta.int/eea-lex/32023R2854" TargetMode="External"/><Relationship Id="rIder6grxbpc7o050m5zocos" Type="http://schemas.openxmlformats.org/officeDocument/2006/relationships/hyperlink" Target="https://lovdata.no/lov/2026-06-19-36/&#167;9" TargetMode="External"/><Relationship Id="rId40ddxybzs4bqhewu4xwom" Type="http://schemas.openxmlformats.org/officeDocument/2006/relationships/hyperlink" Target="https://lovdata.no/lov/2018-06-15-38/gdpr/a28" TargetMode="External"/><Relationship Id="rIdrhfv61u_yoxsi2ueqlmxu" Type="http://schemas.openxmlformats.org/officeDocument/2006/relationships/hyperlink" Target="https://lovdata.no/lov/2018-06-15-38/&#167;1" TargetMode="External"/><Relationship Id="rIdvkuookdsn_wad8qiyrwn1" Type="http://schemas.openxmlformats.org/officeDocument/2006/relationships/hyperlink" Target="https://lovdata.no/lov/2004-11-19-73/&#167;13" TargetMode="External"/><Relationship Id="rIdudhyn4-9x6jx9hfqr6pzx" Type="http://schemas.openxmlformats.org/officeDocument/2006/relationships/hyperlink" Target="https://www.anskaffelser.no/anskaffelsesregelverk/statens-standardavtaler-ssa/veileder-om-rettigheter-til-data-i-ssa-ene" TargetMode="External"/><Relationship Id="rIdpzy0sbyinzlcgazwdnzdl" Type="http://schemas.openxmlformats.org/officeDocument/2006/relationships/hyperlink" Target="https://lovdata.no/lov/2018-06-15-38/gdpr/a4" TargetMode="External"/><Relationship Id="rIdsy8mvaiac7uzmhj2aqf7o" Type="http://schemas.openxmlformats.org/officeDocument/2006/relationships/hyperlink" Target="https://lovdata.no/lov/2018-06-15-38/gdpr/a28" TargetMode="External"/><Relationship Id="rIdr1qzok0svsqftcv_5cy2k" Type="http://schemas.openxmlformats.org/officeDocument/2006/relationships/hyperlink" Target="https://www.anskaffelser.no/anskaffelsesregelverk/statens-standardavtaler-ssa/veileder-om-rettigheter-til-data-i-ssa-ene" TargetMode="External"/><Relationship Id="rIdg1tidtjo84s7aa5mp8zxb" Type="http://schemas.openxmlformats.org/officeDocument/2006/relationships/hyperlink" Target="https://lovdata.no/forskrift/2016-08-12-974/&#167;24-8" TargetMode="External"/><Relationship Id="rIdefj0t2ae2kmugiwycolze" Type="http://schemas.openxmlformats.org/officeDocument/2006/relationships/hyperlink" Target="https://www.anskaffelser.no/anskaffelsesregelverk/statens-standardavtaler-ssa/veileder-om-rettigheter-til-data-i-ssa-ene" TargetMode="External"/><Relationship Id="rId3wy7oxdptduw6dgcd-rka" Type="http://schemas.openxmlformats.org/officeDocument/2006/relationships/hyperlink" Target="https://lovdata.no/lov/2018-06-15-38/gdpr/a28" TargetMode="External"/><Relationship Id="rIdesodd8yedbuzgkkked2bc" Type="http://schemas.openxmlformats.org/officeDocument/2006/relationships/hyperlink" Target="https://lovdata.no/lov/2018-06-15-38/gdpr/a4" TargetMode="External"/><Relationship Id="rId_lnas4ndrmoapu-4ozogw" Type="http://schemas.openxmlformats.org/officeDocument/2006/relationships/hyperlink" Target="https://lovdata.no/lov/2018-06-15-40/&#167;24" TargetMode="External"/><Relationship Id="rIdaed_cbhee6kn_yb5p4uiv" Type="http://schemas.openxmlformats.org/officeDocument/2006/relationships/hyperlink" Target="https://lovdata.no/lov/2004-11-19-73/&#167;13" TargetMode="External"/><Relationship Id="rIdem01vsaxibbstzdtwbxz1" Type="http://schemas.openxmlformats.org/officeDocument/2006/relationships/hyperlink" Target="https://lovdata.no/forskrift/2016-08-12-974/&#167;24-8" TargetMode="External"/><Relationship Id="rIdolwg-mbe0dvifhu7yd-ey" Type="http://schemas.openxmlformats.org/officeDocument/2006/relationships/hyperlink" Target="https://lovdata.no/lov/2026-06-19-36" TargetMode="External"/><Relationship Id="rIduc3uoocnablyqlzwnbzor" Type="http://schemas.openxmlformats.org/officeDocument/2006/relationships/hyperlink" Target="https://eur-lex.europa.eu/legal-content/EN/TXT/?uri=CELEX:32023R2854" TargetMode="External"/><Relationship Id="rIds3dpyuapf0d_nvu4fnvdd" Type="http://schemas.openxmlformats.org/officeDocument/2006/relationships/hyperlink" Target="https://www.efta.int/eea-lex/32023R2854" TargetMode="External"/><Relationship Id="rIdg-1os3jqfwoompuxtio3q" Type="http://schemas.openxmlformats.org/officeDocument/2006/relationships/hyperlink" Target="https://lovdata.no/lov/2020-03-27-15" TargetMode="External"/><Relationship Id="rIdu49dijeonyx9lcev_uqie" Type="http://schemas.openxmlformats.org/officeDocument/2006/relationships/hyperlink" Target="https://www.anskaffelser.no/anskaffelsesregelverk/statens-standardavtaler-ssa/veileder-om-rettigheter-til-data-i-ssa-ene" TargetMode="External"/><Relationship Id="rIddv_9le27ocpwayxn97prf" Type="http://schemas.openxmlformats.org/officeDocument/2006/relationships/hyperlink" Target="https://www.anskaffelser.no/anskaffelsesregelverk/statens-standardavtaler-ssa/hva-er-nytt-rundt-ssa" TargetMode="External"/><Relationship Id="rIdahjrpbasldhwouxang3s3" Type="http://schemas.openxmlformats.org/officeDocument/2006/relationships/hyperlink" Target="https://advokatenhjelperdeg.no/"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SSA-L 2018 → 2026 – sammendrag av rettslig betydning</dc:title>
  <dc:creator>Contract review</dc:creator>
  <cp:lastModifiedBy>Un-named</cp:lastModifiedBy>
  <cp:revision>1</cp:revision>
  <dcterms:created xsi:type="dcterms:W3CDTF">2026-10-30T02:46:15.984Z</dcterms:created>
  <dcterms:modified xsi:type="dcterms:W3CDTF">2026-10-30T02:46:15.989Z</dcterms:modified>
</cp:coreProperties>
</file>

<file path=docProps/custom.xml><?xml version="1.0" encoding="utf-8"?>
<Properties xmlns="http://schemas.openxmlformats.org/officeDocument/2006/custom-properties" xmlns:vt="http://schemas.openxmlformats.org/officeDocument/2006/docPropsVTypes"/>
</file>